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bookmarkStart w:id="0" w:name="_GoBack"/>
      <w:bookmarkEnd w:id="0"/>
      <w:r>
        <w:rPr>
          <w:rFonts w:hint="eastAsia" w:ascii="Times New Roman" w:hAnsi="Times New Roman" w:eastAsia="黑体" w:cs="Times New Roman"/>
          <w:b w:val="0"/>
          <w:kern w:val="2"/>
          <w:sz w:val="32"/>
          <w:szCs w:val="32"/>
          <w:shd w:val="clear" w:color="auto" w:fill="FFFFFF"/>
          <w:lang w:val="en-US" w:eastAsia="zh-CN" w:bidi="ar-SA"/>
        </w:rPr>
        <w:t>附件</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rPr>
        <w:t>一、比选项目</w:t>
      </w:r>
      <w:r>
        <w:rPr>
          <w:rFonts w:hint="default" w:ascii="Times New Roman" w:hAnsi="Times New Roman" w:eastAsia="黑体" w:cs="Times New Roman"/>
          <w:sz w:val="32"/>
          <w:szCs w:val="32"/>
          <w:shd w:val="clear" w:color="auto" w:fill="FFFFFF"/>
          <w:lang w:val="en-US" w:eastAsia="zh-CN"/>
        </w:rPr>
        <w:t>内容</w:t>
      </w:r>
    </w:p>
    <w:p>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shd w:val="clear" w:color="auto" w:fill="FFFFFF"/>
          <w:lang w:val="en-US" w:eastAsia="zh-CN"/>
        </w:rPr>
        <w:t>本次采购共</w:t>
      </w:r>
      <w:r>
        <w:rPr>
          <w:rFonts w:hint="eastAsia" w:ascii="Times New Roman" w:hAnsi="Times New Roman" w:cs="Times New Roman"/>
          <w:sz w:val="32"/>
          <w:szCs w:val="32"/>
          <w:highlight w:val="none"/>
          <w:shd w:val="clear" w:color="auto" w:fill="FFFFFF"/>
          <w:lang w:val="en-US" w:eastAsia="zh-CN"/>
        </w:rPr>
        <w:t>1</w:t>
      </w:r>
      <w:r>
        <w:rPr>
          <w:rFonts w:hint="default" w:ascii="Times New Roman" w:hAnsi="Times New Roman" w:eastAsia="仿宋_GB2312" w:cs="Times New Roman"/>
          <w:sz w:val="32"/>
          <w:szCs w:val="32"/>
          <w:highlight w:val="none"/>
          <w:shd w:val="clear" w:color="auto" w:fill="FFFFFF"/>
          <w:lang w:val="en-US" w:eastAsia="zh-CN"/>
        </w:rPr>
        <w:t>个项目，项目1采购豚鼠等科研动物，预算金额4.9万元。本次采购为单价采购，实际采购金额据实结算</w:t>
      </w:r>
      <w:r>
        <w:rPr>
          <w:rFonts w:hint="default" w:ascii="Times New Roman" w:hAnsi="Times New Roman" w:eastAsia="仿宋_GB2312" w:cs="Times New Roman"/>
          <w:highlight w:val="none"/>
          <w:lang w:eastAsia="zh-CN"/>
        </w:rPr>
        <w:t>。</w:t>
      </w:r>
    </w:p>
    <w:tbl>
      <w:tblPr>
        <w:tblStyle w:val="7"/>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4545"/>
        <w:gridCol w:w="1545"/>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13"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项目号</w:t>
            </w:r>
          </w:p>
        </w:tc>
        <w:tc>
          <w:tcPr>
            <w:tcW w:w="4545"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采购内容</w:t>
            </w:r>
          </w:p>
        </w:tc>
        <w:tc>
          <w:tcPr>
            <w:tcW w:w="1545"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预算金额</w:t>
            </w:r>
          </w:p>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（万元）</w:t>
            </w:r>
          </w:p>
        </w:tc>
        <w:tc>
          <w:tcPr>
            <w:tcW w:w="1666"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13"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eastAsia" w:ascii="Times New Roman" w:hAnsi="Times New Roman" w:cs="Times New Roman"/>
                <w:b w:val="0"/>
                <w:bCs w:val="0"/>
                <w:sz w:val="28"/>
                <w:szCs w:val="28"/>
                <w:highlight w:val="none"/>
                <w:shd w:val="clear" w:color="auto" w:fill="FFFFFF"/>
                <w:vertAlign w:val="baseline"/>
                <w:lang w:val="en-US" w:eastAsia="zh-CN"/>
              </w:rPr>
              <w:t>1</w:t>
            </w:r>
          </w:p>
        </w:tc>
        <w:tc>
          <w:tcPr>
            <w:tcW w:w="454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豚鼠等科研动物项目</w:t>
            </w:r>
          </w:p>
        </w:tc>
        <w:tc>
          <w:tcPr>
            <w:tcW w:w="154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4.9</w:t>
            </w:r>
          </w:p>
        </w:tc>
        <w:tc>
          <w:tcPr>
            <w:tcW w:w="1666"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据实结算</w:t>
            </w:r>
          </w:p>
        </w:tc>
      </w:tr>
    </w:tbl>
    <w:p>
      <w:pPr>
        <w:keepNext w:val="0"/>
        <w:keepLines w:val="0"/>
        <w:pageBreakBefore w:val="0"/>
        <w:widowControl w:val="0"/>
        <w:shd w:val="clear" w:color="auto" w:fill="FFFFFF"/>
        <w:tabs>
          <w:tab w:val="left" w:pos="720"/>
          <w:tab w:val="left" w:pos="900"/>
        </w:tabs>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二、项目清单</w:t>
      </w:r>
    </w:p>
    <w:p>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shd w:val="clear" w:color="auto" w:fill="FFFFFF"/>
          <w:lang w:val="en-US" w:eastAsia="zh-CN"/>
        </w:rPr>
      </w:pPr>
      <w:r>
        <w:rPr>
          <w:rFonts w:hint="default" w:ascii="Times New Roman" w:hAnsi="Times New Roman" w:eastAsia="仿宋_GB2312" w:cs="Times New Roman"/>
          <w:b/>
          <w:bCs/>
          <w:sz w:val="32"/>
          <w:szCs w:val="32"/>
          <w:highlight w:val="none"/>
          <w:shd w:val="clear" w:color="auto" w:fill="FFFFFF"/>
          <w:lang w:val="en-US" w:eastAsia="zh-CN"/>
        </w:rPr>
        <w:t>项目1</w:t>
      </w:r>
    </w:p>
    <w:tbl>
      <w:tblPr>
        <w:tblStyle w:val="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832"/>
        <w:gridCol w:w="1843"/>
        <w:gridCol w:w="1095"/>
        <w:gridCol w:w="1485"/>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0"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序号</w:t>
            </w:r>
          </w:p>
        </w:tc>
        <w:tc>
          <w:tcPr>
            <w:tcW w:w="1832"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商品名称</w:t>
            </w:r>
          </w:p>
        </w:tc>
        <w:tc>
          <w:tcPr>
            <w:tcW w:w="1843"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规格型号</w:t>
            </w:r>
          </w:p>
        </w:tc>
        <w:tc>
          <w:tcPr>
            <w:tcW w:w="1095"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单位</w:t>
            </w:r>
          </w:p>
        </w:tc>
        <w:tc>
          <w:tcPr>
            <w:tcW w:w="1485"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单价限价（元）</w:t>
            </w:r>
          </w:p>
        </w:tc>
        <w:tc>
          <w:tcPr>
            <w:tcW w:w="1869" w:type="dxa"/>
            <w:noWrap w:val="0"/>
            <w:vAlign w:val="center"/>
          </w:tcPr>
          <w:p>
            <w:pPr>
              <w:keepNext w:val="0"/>
              <w:keepLines w:val="0"/>
              <w:pageBreakBefore w:val="0"/>
              <w:widowControl w:val="0"/>
              <w:shd w:val="clear" w:color="auto" w:fill="FFFFFF"/>
              <w:tabs>
                <w:tab w:val="left" w:pos="72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sz w:val="28"/>
                <w:szCs w:val="28"/>
                <w:highlight w:val="none"/>
                <w:shd w:val="clear" w:color="auto" w:fill="FFFFFF"/>
                <w:lang w:val="en-US" w:eastAsia="zh-CN"/>
              </w:rPr>
            </w:pPr>
            <w:r>
              <w:rPr>
                <w:rFonts w:hint="default" w:ascii="Times New Roman" w:hAnsi="Times New Roman" w:eastAsia="仿宋_GB2312" w:cs="Times New Roman"/>
                <w:b/>
                <w:sz w:val="28"/>
                <w:szCs w:val="28"/>
                <w:highlight w:val="none"/>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0"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1</w:t>
            </w:r>
          </w:p>
        </w:tc>
        <w:tc>
          <w:tcPr>
            <w:tcW w:w="1832"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豚鼠</w:t>
            </w:r>
          </w:p>
        </w:tc>
        <w:tc>
          <w:tcPr>
            <w:tcW w:w="1843"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250-300g清洁级豚鼠80只</w:t>
            </w:r>
          </w:p>
        </w:tc>
        <w:tc>
          <w:tcPr>
            <w:tcW w:w="109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只</w:t>
            </w:r>
          </w:p>
        </w:tc>
        <w:tc>
          <w:tcPr>
            <w:tcW w:w="148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200</w:t>
            </w:r>
          </w:p>
        </w:tc>
        <w:tc>
          <w:tcPr>
            <w:tcW w:w="1869"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雄鼠与雌鼠各半，清洁级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0"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2</w:t>
            </w:r>
          </w:p>
        </w:tc>
        <w:tc>
          <w:tcPr>
            <w:tcW w:w="1832"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家兔</w:t>
            </w:r>
          </w:p>
        </w:tc>
        <w:tc>
          <w:tcPr>
            <w:tcW w:w="1843"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1.7-2.3kg日本大耳白兔40只</w:t>
            </w:r>
          </w:p>
        </w:tc>
        <w:tc>
          <w:tcPr>
            <w:tcW w:w="109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只</w:t>
            </w:r>
          </w:p>
        </w:tc>
        <w:tc>
          <w:tcPr>
            <w:tcW w:w="148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120</w:t>
            </w:r>
          </w:p>
        </w:tc>
        <w:tc>
          <w:tcPr>
            <w:tcW w:w="1869"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雄兔与雌兔各半，清洁级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0"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3</w:t>
            </w:r>
          </w:p>
        </w:tc>
        <w:tc>
          <w:tcPr>
            <w:tcW w:w="1832"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大鼠</w:t>
            </w:r>
          </w:p>
        </w:tc>
        <w:tc>
          <w:tcPr>
            <w:tcW w:w="1843"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3-8周，</w:t>
            </w:r>
          </w:p>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220-240g</w:t>
            </w:r>
          </w:p>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SD大鼠360只</w:t>
            </w:r>
          </w:p>
        </w:tc>
        <w:tc>
          <w:tcPr>
            <w:tcW w:w="109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只</w:t>
            </w:r>
          </w:p>
        </w:tc>
        <w:tc>
          <w:tcPr>
            <w:tcW w:w="148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55</w:t>
            </w:r>
          </w:p>
        </w:tc>
        <w:tc>
          <w:tcPr>
            <w:tcW w:w="1869"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雄鼠，SPF级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0"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4</w:t>
            </w:r>
          </w:p>
        </w:tc>
        <w:tc>
          <w:tcPr>
            <w:tcW w:w="1832"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小鼠</w:t>
            </w:r>
          </w:p>
        </w:tc>
        <w:tc>
          <w:tcPr>
            <w:tcW w:w="1843"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3-8周，30-35g</w:t>
            </w:r>
          </w:p>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昆明小鼠500只</w:t>
            </w:r>
          </w:p>
        </w:tc>
        <w:tc>
          <w:tcPr>
            <w:tcW w:w="109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只</w:t>
            </w:r>
          </w:p>
        </w:tc>
        <w:tc>
          <w:tcPr>
            <w:tcW w:w="1485"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15</w:t>
            </w:r>
          </w:p>
        </w:tc>
        <w:tc>
          <w:tcPr>
            <w:tcW w:w="1869" w:type="dxa"/>
            <w:noWrap w:val="0"/>
            <w:vAlign w:val="center"/>
          </w:tcPr>
          <w:p>
            <w:pPr>
              <w:keepNext w:val="0"/>
              <w:keepLines w:val="0"/>
              <w:pageBreakBefore w:val="0"/>
              <w:widowControl w:val="0"/>
              <w:tabs>
                <w:tab w:val="left" w:pos="720"/>
                <w:tab w:val="left" w:pos="900"/>
              </w:tabs>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8"/>
                <w:szCs w:val="28"/>
                <w:highlight w:val="none"/>
                <w:shd w:val="clear" w:color="auto" w:fill="FFFFFF"/>
                <w:vertAlign w:val="baseline"/>
                <w:lang w:val="en-US" w:eastAsia="zh-CN"/>
              </w:rPr>
            </w:pPr>
            <w:r>
              <w:rPr>
                <w:rFonts w:hint="default" w:ascii="Times New Roman" w:hAnsi="Times New Roman" w:eastAsia="仿宋_GB2312" w:cs="Times New Roman"/>
                <w:b w:val="0"/>
                <w:bCs w:val="0"/>
                <w:sz w:val="28"/>
                <w:szCs w:val="28"/>
                <w:highlight w:val="none"/>
                <w:shd w:val="clear" w:color="auto" w:fill="FFFFFF"/>
                <w:vertAlign w:val="baseline"/>
                <w:lang w:val="en-US" w:eastAsia="zh-CN"/>
              </w:rPr>
              <w:t>雄鼠与雌鼠各半，SPF级</w:t>
            </w:r>
          </w:p>
        </w:tc>
      </w:tr>
    </w:tbl>
    <w:p>
      <w:pPr>
        <w:keepNext w:val="0"/>
        <w:keepLines w:val="0"/>
        <w:pageBreakBefore w:val="0"/>
        <w:widowControl w:val="0"/>
        <w:shd w:val="clear" w:color="auto" w:fill="FFFFFF"/>
        <w:tabs>
          <w:tab w:val="left" w:pos="720"/>
          <w:tab w:val="left" w:pos="900"/>
        </w:tabs>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三、技术及服务要求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（一）产品、报价要求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属于挂网产品的，以“四川省药械集中采购及医药价格监管平台”截止上月末全省医疗机构采购加权平均价报折扣计算价格分。（举例：如供应商承诺在截止上月末全省医疗机构采购加权平均价基础上报折扣2个百分点，则其在开标一览表中报统一折扣为98%。如不下浮则其折扣报价应为100%。本项目为滚动折扣，即8月中标，假如是80%。9月买的时候以8月加权平均价*80%。10月买的以9月的加权平均价*80%。且该项报价不得上浮否则做无效投标处理）。挂网产品每包统一仅有一个折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2.不属于挂网产品的，以采购清单中限价为基础报折扣。（举例：如供应商承诺在最高限价基础上报折扣2个百分点，则其在开标一览表中报统一折扣为98%。如不下浮则其折扣报价应为100%。且该项报价不得上浮，否则做无效投标处理）。非挂网产品每包统一仅有一个折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3.一包中同时涉及挂网产品和非挂网产品的，可分别报统一折扣，该包中所有挂网产品统一报一个折扣，非挂网产品统一报一个折扣。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（二）其他要求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1.供应商需提供全面、合格的货物。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（1）供应商拟提供的所有货物产地其来源地均应为中华人民共和国或与中华人民共和国有官方贸易关系的国家或地区。投标人提供的货物必须符合已颁布的中国国家标准或国际标准的有关条款。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2）供应商应根据订单数量按时且保质保量送达履约地点，且要保证配送产品来源渠道的合法合规性，同时纳入集中挂网阳光采购的产品，保证不使用非挂网品种取代挂网品种，否则因此由此产生的所有后果均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（3）供应商所供产品必须符合国家医疗器械质量标准和相关要求，确保临床使用安全有效，并根据采购人情况提供符合实际且经医院认可的产品。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4）产品包装要求（如涉及）：包装袋（箱）应干净、结实、无破损、封口严密，方便储存、运输和使用；在每件包装上须注明产品注册证名称、产品注册证号、数量、价格、产地、生产厂家、配送企业、批号、包装规格、生产日期、产品保质有效期、质量合格标志等（需无菌包装的耗材必须保证符合无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2.供应商应提供及时有效的技术支持，有良好的售后服务体系。急需的产品配送时间不应超过4小时。日常计划需要的产品配送时间不应超过2个工作日。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3.需要冷链运输的，必须附有冷链交接单，冷链交接单上记录的温度必须符合产品储存温度的要求。需冷链运输的试剂，生产经营企业需具备冷链运输、储存条件。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4.为保证产品的合法来源，每包所投产品的生产厂家或有效经销商需提供针对本项目的授权委托书复印件加盖投标人公章。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5.结算方式：实际成交以单价和实际发生的数量结算。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6.供应商提供的产品应符合国家标准。中标人必须严格按照比选文件要求和提供配送服务。配送的产品规格、包装等应与中标品种规格、包装等一致，否则采购人有权拒绝，不同意更换的，采购人有权单方停止中标人配送资格。造成采购人损失的由中标人进行赔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7.产品在使用前若发现有质量问题，应及时免费更换，或对不符合要求的相关产品应进行退还，造成采购方损失的由供应商进行赔偿；若使用中产品出现质量问题，供货商应于4小时内到现场处理相关事宜；其他质量问题在采购合同中约束。</w:t>
      </w:r>
    </w:p>
    <w:p>
      <w:pPr>
        <w:keepNext w:val="0"/>
        <w:keepLines w:val="0"/>
        <w:pageBreakBefore w:val="0"/>
        <w:widowControl w:val="0"/>
        <w:shd w:val="clear" w:color="auto" w:fill="FFFFFF"/>
        <w:tabs>
          <w:tab w:val="left" w:pos="720"/>
          <w:tab w:val="left" w:pos="900"/>
        </w:tabs>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w:t>
      </w:r>
      <w:r>
        <w:rPr>
          <w:rFonts w:hint="default" w:ascii="Times New Roman" w:hAnsi="Times New Roman" w:eastAsia="黑体" w:cs="Times New Roman"/>
          <w:sz w:val="32"/>
          <w:szCs w:val="32"/>
          <w:shd w:val="clear" w:color="auto" w:fill="FFFFFF"/>
          <w:lang w:val="en-US" w:eastAsia="zh-CN"/>
        </w:rPr>
        <w:t>四</w:t>
      </w:r>
      <w:r>
        <w:rPr>
          <w:rFonts w:hint="default" w:ascii="Times New Roman" w:hAnsi="Times New Roman" w:eastAsia="黑体" w:cs="Times New Roman"/>
          <w:sz w:val="32"/>
          <w:szCs w:val="32"/>
          <w:shd w:val="clear" w:color="auto" w:fill="FFFFFF"/>
        </w:rPr>
        <w:t>、商务要求</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（一）</w:t>
      </w:r>
      <w:r>
        <w:rPr>
          <w:rFonts w:hint="default" w:ascii="Times New Roman" w:hAnsi="Times New Roman" w:eastAsia="仿宋_GB2312" w:cs="Times New Roman"/>
          <w:sz w:val="32"/>
          <w:szCs w:val="32"/>
          <w:shd w:val="clear" w:color="auto" w:fill="FFFFFF"/>
          <w:lang w:val="en-US" w:eastAsia="zh-CN"/>
        </w:rPr>
        <w:t>付款方式：合同签订后，按医院付款流程支付。</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（二）</w:t>
      </w:r>
      <w:r>
        <w:rPr>
          <w:rFonts w:hint="default" w:ascii="Times New Roman" w:hAnsi="Times New Roman" w:eastAsia="仿宋_GB2312" w:cs="Times New Roman"/>
          <w:sz w:val="32"/>
          <w:szCs w:val="32"/>
          <w:shd w:val="clear" w:color="auto" w:fill="FFFFFF"/>
          <w:lang w:val="en-US" w:eastAsia="zh-CN"/>
        </w:rPr>
        <w:t>服务地点：</w:t>
      </w:r>
      <w:r>
        <w:rPr>
          <w:rFonts w:hint="default" w:ascii="Times New Roman" w:hAnsi="Times New Roman" w:cs="Times New Roman"/>
          <w:color w:val="auto"/>
          <w:sz w:val="32"/>
          <w:szCs w:val="32"/>
          <w:shd w:val="clear" w:color="auto" w:fill="FFFFFF"/>
          <w:lang w:val="en-US" w:eastAsia="zh-CN"/>
        </w:rPr>
        <w:t>采购人指定地点</w:t>
      </w:r>
      <w:r>
        <w:rPr>
          <w:rFonts w:hint="default" w:ascii="Times New Roman" w:hAnsi="Times New Roman" w:eastAsia="仿宋_GB2312" w:cs="Times New Roman"/>
          <w:color w:val="auto"/>
          <w:sz w:val="32"/>
          <w:szCs w:val="32"/>
          <w:shd w:val="clear" w:color="auto" w:fill="FFFFFF"/>
          <w:lang w:val="en-US" w:eastAsia="zh-CN"/>
        </w:rPr>
        <w:t>。</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（三）</w:t>
      </w:r>
      <w:r>
        <w:rPr>
          <w:rFonts w:hint="default" w:ascii="Times New Roman" w:hAnsi="Times New Roman" w:eastAsia="仿宋_GB2312" w:cs="Times New Roman"/>
          <w:sz w:val="32"/>
          <w:szCs w:val="32"/>
          <w:shd w:val="clear" w:color="auto" w:fill="FFFFFF"/>
          <w:lang w:val="en-US" w:eastAsia="zh-CN"/>
        </w:rPr>
        <w:t>验收要求：按照相关法律法规的要求进行履约验收。</w:t>
      </w:r>
    </w:p>
    <w:p>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注：本章中标注“★”的条款为实质性要求，未响应或不满足，按无效响应处理。</w:t>
      </w:r>
    </w:p>
    <w:p>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13683CA5"/>
    <w:rsid w:val="0B910F3B"/>
    <w:rsid w:val="0F6D42ED"/>
    <w:rsid w:val="13683CA5"/>
    <w:rsid w:val="3933030F"/>
    <w:rsid w:val="3C1D53E3"/>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rPr>
      <w:rFonts w:ascii="等线" w:hAnsi="等线" w:eastAsia="Times New Roman" w:cs="Times New Roman"/>
      <w:sz w:val="21"/>
      <w:szCs w:val="24"/>
    </w:rPr>
  </w:style>
  <w:style w:type="paragraph" w:styleId="4">
    <w:name w:val="Plain Text"/>
    <w:basedOn w:val="1"/>
    <w:next w:val="1"/>
    <w:qFormat/>
    <w:uiPriority w:val="0"/>
    <w:rPr>
      <w:rFonts w:ascii="宋体" w:hAnsi="Courier New" w:eastAsia="Times New Roman" w:cs="Times New Roman"/>
      <w:sz w:val="21"/>
      <w:szCs w:val="20"/>
    </w:rPr>
  </w:style>
  <w:style w:type="paragraph" w:styleId="6">
    <w:name w:val="Body Text 3"/>
    <w:basedOn w:val="1"/>
    <w:qFormat/>
    <w:uiPriority w:val="99"/>
    <w:pPr>
      <w:spacing w:line="500" w:lineRule="exact"/>
    </w:pPr>
    <w:rPr>
      <w:b/>
      <w:bCs/>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123</cp:lastModifiedBy>
  <dcterms:modified xsi:type="dcterms:W3CDTF">2023-11-21T05:32:35Z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C953EDF3BCED4EEBAE35A113EDBC8BCC_11</vt:lpwstr>
  </property>
</Properties>
</file>