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240" w:lineRule="auto"/>
        <w:jc w:val="left"/>
        <w:rPr>
          <w:rFonts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</w:rPr>
        <w:t>附件</w:t>
      </w:r>
    </w:p>
    <w:p>
      <w:pPr>
        <w:pStyle w:val="4"/>
        <w:spacing w:before="0" w:after="0" w:line="240" w:lineRule="auto"/>
        <w:rPr>
          <w:rFonts w:ascii="Times New Roman" w:hAnsi="Times New Roman" w:eastAsia="方正小标宋_GBK" w:cs="Times New Roman"/>
          <w:b w:val="0"/>
          <w:bCs/>
        </w:rPr>
      </w:pPr>
      <w:r>
        <w:rPr>
          <w:rFonts w:hint="eastAsia" w:ascii="Times New Roman" w:hAnsi="Times New Roman" w:eastAsia="方正小标宋_GBK" w:cs="Times New Roman"/>
          <w:b w:val="0"/>
          <w:bCs/>
        </w:rPr>
        <w:t>项目采购需求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中药剂科制剂用试剂配送服务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，总预算金额7万元/年，实际采购金额据实结算。</w:t>
      </w:r>
    </w:p>
    <w:tbl>
      <w:tblPr>
        <w:tblStyle w:val="12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983"/>
        <w:gridCol w:w="1957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/年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中药剂科制剂用试剂配送服务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</w:tr>
    </w:tbl>
    <w:p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采购清单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056"/>
        <w:gridCol w:w="2976"/>
        <w:gridCol w:w="487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氢氧化钠（工业级）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工业级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25kg/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冰醋酸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环己烷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甲酸乙酯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石油醚（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30-60℃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石油醚（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60-90℃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水合氯醛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乙醇（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正丁醇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正己烷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香草醛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溴百里香酚蓝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亚铁氰化钾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无水硫酸钠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硫氰酸铵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N-(1-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萘基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乙二胺盐酸盐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三氯化铝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三氯化铁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磷钼酸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次硝酸铋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对二甲氨基苯甲醛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二苯胺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硅藻土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化学纯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pH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测定缓冲液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4.0-9.88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变色硅胶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大孔吸附树脂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500g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D101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乳酸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甲基红指示液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0.5mg/ml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滴瓶装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100ml/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乙二胺四乙酸二钠标准溶液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0.05mol/L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稀盐酸标准溶液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9.5%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钙黄绿素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分析纯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10g/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25kg/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甲醇（色谱）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色谱纯</w:t>
            </w:r>
            <w:r>
              <w:rPr>
                <w:rStyle w:val="2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4L/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乙腈（色谱）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色谱纯</w:t>
            </w:r>
            <w:r>
              <w:rPr>
                <w:rStyle w:val="2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4L/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磷酸（色谱）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色谱纯</w:t>
            </w:r>
            <w:r>
              <w:rPr>
                <w:rStyle w:val="2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500ml/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异丙醇（色谱）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色谱纯</w:t>
            </w:r>
            <w:r>
              <w:rPr>
                <w:rStyle w:val="2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4L/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离子交换树脂再生剂（软水机专用）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10kg/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聚酰胺层析薄膜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10cm×10cm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片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pH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试纸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本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展开缸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100*200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展开缸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100*200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30-70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硅胶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薄层层析板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50*100mm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片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硅胶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GF254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薄层层析板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50*100mm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片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硅胶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薄层层析板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100*200mm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片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比重瓶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30mm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，短颈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磨口锥形瓶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24#100ml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圆底烧瓶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24#100ml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5ml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刻度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显色剂喷瓶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24*2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125ml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，梨形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10ml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50ml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30-50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度，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30cm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，水银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1.0-1.1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毛细管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0.3*100mm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玻璃干燥箱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150mm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，干燥器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挥发油提取器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挥发油测定器，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层析柱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标口外径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15*200mm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坩埚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30ml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S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2ml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称量纸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10×10cm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14cm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PE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1.5ml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溶剂砂芯过滤器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25ml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酸碱通用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气相色谱柱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6%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）氰丙基苯基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94%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）二甲基聚硅氧烷固定相毛细管柱，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30m*0.53mm*3.00μm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气相色谱柱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PEG-20M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固定相毛细管柱，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30m* 0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32mm*1.0μm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液相色谱柱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C18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4.6*250mm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5um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进样瓶（含盖子）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2ml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尼龙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66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滤头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13mm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0.45um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有机相微孔滤膜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47mm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0.45um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水相微孔滤膜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47mm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0.45um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PH7.0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氯化钠</w:t>
            </w: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蛋白胨缓冲液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胰酪大豆胨液体培养基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胰酪大豆胨琼脂培养基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麦康凯液体培养基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肠道增菌液体培养基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RV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沙门增菌液体培养基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沙氏葡萄糖琼脂培养基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紫红胆盐葡萄糖琼脂培养基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木糖赖氨酸脱氧胆酸琼脂培养基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溴化十六烷基三甲胺琼脂培养基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甘露醇氧化钠琼脂培养基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三糖铁琼脂培养基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R2A琼脂培养基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250g/</w:t>
            </w:r>
            <w:r>
              <w:rPr>
                <w:rStyle w:val="2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白术对照药材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大黄对照药材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枸杞子对照药材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黄芩对照药材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龙血竭对照药材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牛蒡子对照药材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人参对照药材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忍冬藤对照药材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三七对照药材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桑叶对照药材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玄参对照药材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紫草对照药材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陈皮对照药材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桔梗对照药材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阿魏酸对照品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薄荷脑对照品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天然冰片对照品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约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橙皮苷对照品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川续断皂苷VI对照品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大黄素对照品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丹参酮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ⅡA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丹皮酚对照品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胆酸对照品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葛根素对照品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和厚朴酚对照品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约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厚朴酚对照品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槲皮素对照品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黄芪甲苷对照品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黄芩苷对照品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苦参碱对照品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绿原酸对照品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欧前胡素对照品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齐墩果酸对照品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人参皂苷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Rb1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人参皂苷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Re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人参皂苷</w:t>
            </w:r>
            <w:r>
              <w:rPr>
                <w:rStyle w:val="2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Rg1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山奈素对照品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芍药苷对照品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蛇床子素对照品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乌头碱对照品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五味子醇甲对照品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五味子甲素对照品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五味子乙素对照品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熊果酸对照品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延胡索乙素对照品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盐酸小檗碱对照品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异欧前胡素对照品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异鼠李素对照品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原儿茶醛对照品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左旋樟脑对照品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大黄酚对照品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马钱苷对照品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龙脑对照品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木犀草苷对照品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</w:tr>
    </w:tbl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配送要求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供应商应承诺能够按照采购合同规定的质量、价格、规格及时供货。如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后因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自身原因，直接影响采购人工作，对采购人造成直接或间接经济损失及负面影响的，将停止供货，并按照相关法律及规定承担赔偿责任。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(投标时须提供承诺函，格式自拟，并加盖供应商公章)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质保期内由于产品质量原因造成的任何损伤和损坏，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成交供应商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负责包换、包退，费用包含在投标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总价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内，采购人不再另行支付费用。</w:t>
      </w:r>
    </w:p>
    <w:p>
      <w:pPr>
        <w:numPr>
          <w:ilvl w:val="0"/>
          <w:numId w:val="0"/>
        </w:numPr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3.成交供应商负责对货物送达、配送；交付全过程的装卸、运输、仓储等一切事宜，费用包含在投标单价内，采购人不再另行支付费用</w:t>
      </w:r>
      <w:r>
        <w:rPr>
          <w:rFonts w:hint="eastAsia" w:hAnsi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hint="eastAsia" w:asci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自合同签订之日起三年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（二）服务地点：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成都市中西医结合医院南北两区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（三）预算金额：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hAnsi="仿宋_GB2312"/>
          <w:sz w:val="32"/>
          <w:szCs w:val="32"/>
          <w:shd w:val="clear" w:color="auto" w:fill="FFFFFF"/>
        </w:rPr>
        <w:t>万元/年，实际采购金额据实结算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（四）付款方式：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合同签订后，按采购人每月实收货物且收到供应商合格发票后进行支付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五）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要求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1年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采购人要求送货后24小时内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需送达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）验收要求：参照《财政部关于进一步加强政府</w:t>
      </w:r>
      <w:bookmarkStart w:id="0" w:name="_GoBack"/>
      <w:bookmarkEnd w:id="0"/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 w:eastAsia="zh-CN"/>
      </w:rPr>
      <w:t>15</w:t>
    </w:r>
    <w:r>
      <w:rPr>
        <w:rFonts w:ascii="Times New Roman"/>
        <w:sz w:val="21"/>
        <w:szCs w:val="21"/>
      </w:rPr>
      <w:fldChar w:fldCharType="end"/>
    </w:r>
  </w:p>
  <w:p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9D5628"/>
    <w:rsid w:val="01390213"/>
    <w:rsid w:val="0BF53974"/>
    <w:rsid w:val="0F837E14"/>
    <w:rsid w:val="13683CA5"/>
    <w:rsid w:val="17AC2592"/>
    <w:rsid w:val="200801CE"/>
    <w:rsid w:val="208C4489"/>
    <w:rsid w:val="269428FC"/>
    <w:rsid w:val="28375E51"/>
    <w:rsid w:val="2B935195"/>
    <w:rsid w:val="31B5313F"/>
    <w:rsid w:val="38FA26DC"/>
    <w:rsid w:val="396D612C"/>
    <w:rsid w:val="3AD7091B"/>
    <w:rsid w:val="3C0A5C4E"/>
    <w:rsid w:val="3F8145E5"/>
    <w:rsid w:val="4ACD0A41"/>
    <w:rsid w:val="53FB15E8"/>
    <w:rsid w:val="58B713E4"/>
    <w:rsid w:val="592A4A08"/>
    <w:rsid w:val="5949427D"/>
    <w:rsid w:val="59886781"/>
    <w:rsid w:val="5C163756"/>
    <w:rsid w:val="5F563847"/>
    <w:rsid w:val="692D5565"/>
    <w:rsid w:val="6C172E9A"/>
    <w:rsid w:val="6F69270C"/>
    <w:rsid w:val="71E72E8F"/>
    <w:rsid w:val="786A0DAB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autoRedefine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5">
    <w:name w:val="Normal Indent"/>
    <w:basedOn w:val="6"/>
    <w:next w:val="1"/>
    <w:autoRedefine/>
    <w:qFormat/>
    <w:uiPriority w:val="0"/>
    <w:rPr>
      <w:rFonts w:ascii="Calibri"/>
      <w:sz w:val="21"/>
      <w:szCs w:val="24"/>
    </w:rPr>
  </w:style>
  <w:style w:type="paragraph" w:styleId="6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next w:val="5"/>
    <w:autoRedefine/>
    <w:qFormat/>
    <w:uiPriority w:val="0"/>
    <w:pPr>
      <w:ind w:firstLine="630"/>
    </w:pPr>
    <w:rPr>
      <w:sz w:val="32"/>
    </w:rPr>
  </w:style>
  <w:style w:type="paragraph" w:styleId="8">
    <w:name w:val="Body Text 3"/>
    <w:basedOn w:val="1"/>
    <w:autoRedefine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9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2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2"/>
    <w:next w:val="3"/>
    <w:autoRedefine/>
    <w:qFormat/>
    <w:uiPriority w:val="0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14"/>
    <w:link w:val="10"/>
    <w:autoRedefine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字符"/>
    <w:basedOn w:val="14"/>
    <w:link w:val="9"/>
    <w:autoRedefine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字符"/>
    <w:link w:val="2"/>
    <w:autoRedefine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20">
    <w:name w:val="font6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8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71"/>
    <w:basedOn w:val="1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131"/>
    <w:basedOn w:val="1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6">
    <w:name w:val="font112"/>
    <w:basedOn w:val="1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0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1489</Words>
  <Characters>1601</Characters>
  <Lines>4</Lines>
  <Paragraphs>1</Paragraphs>
  <TotalTime>0</TotalTime>
  <ScaleCrop>false</ScaleCrop>
  <LinksUpToDate>false</LinksUpToDate>
  <CharactersWithSpaces>1602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橙</cp:lastModifiedBy>
  <dcterms:modified xsi:type="dcterms:W3CDTF">2024-05-28T06:51:55Z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C953EDF3BCED4EEBAE35A113EDBC8BCC_11</vt:lpwstr>
  </property>
</Properties>
</file>