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240" w:lineRule="auto"/>
        <w:jc w:val="left"/>
        <w:rPr>
          <w:rFonts w:hint="eastAsia" w:ascii="方正黑体_GBK" w:hAnsi="方正黑体_GBK" w:eastAsia="方正黑体_GBK" w:cs="方正黑体_GBK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>
      <w:pPr>
        <w:pStyle w:val="4"/>
        <w:spacing w:before="0" w:after="0" w:line="240" w:lineRule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  <w:t>项目采购需求</w:t>
      </w:r>
    </w:p>
    <w:p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eastAsia="黑体" w:cs="Times New Roman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</w:rPr>
        <w:t>内容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本项目共1个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包件</w:t>
      </w:r>
      <w:r>
        <w:rPr>
          <w:rFonts w:hint="eastAsia" w:hAnsi="仿宋_GB2312"/>
          <w:sz w:val="32"/>
          <w:szCs w:val="32"/>
          <w:shd w:val="clear" w:color="auto" w:fill="FFFFFF"/>
        </w:rPr>
        <w:t>，采购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卫生健康决策支持数据分析服务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eastAsia" w:hAnsi="仿宋_GB2312"/>
          <w:sz w:val="32"/>
          <w:szCs w:val="32"/>
          <w:shd w:val="clear" w:color="auto" w:fill="FFFFFF"/>
        </w:rPr>
        <w:t>，总预算金额</w:t>
      </w:r>
      <w:r>
        <w:rPr>
          <w:rFonts w:hint="eastAsia" w:ascii="Times New Roman" w:cs="Times New Roman"/>
          <w:sz w:val="28"/>
          <w:szCs w:val="28"/>
          <w:shd w:val="clear" w:color="auto" w:fill="FFFFFF"/>
          <w:lang w:val="en-US" w:eastAsia="zh-CN"/>
        </w:rPr>
        <w:t>6.7</w:t>
      </w:r>
      <w:r>
        <w:rPr>
          <w:rFonts w:hint="eastAsia" w:hAnsi="仿宋_GB2312"/>
          <w:sz w:val="32"/>
          <w:szCs w:val="32"/>
          <w:shd w:val="clear" w:color="auto" w:fill="FFFFFF"/>
        </w:rPr>
        <w:t>万元/年。</w:t>
      </w:r>
    </w:p>
    <w:tbl>
      <w:tblPr>
        <w:tblStyle w:val="13"/>
        <w:tblW w:w="8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983"/>
        <w:gridCol w:w="1957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b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（项）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预算金额</w:t>
            </w:r>
          </w:p>
          <w:p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（万元</w:t>
            </w:r>
            <w:r>
              <w:rPr>
                <w:rFonts w:hint="eastAsia"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/年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cs="Times New Roman"/>
                <w:sz w:val="32"/>
                <w:szCs w:val="32"/>
                <w:shd w:val="clear" w:color="auto" w:fill="FFFFFF"/>
                <w:lang w:eastAsia="zh-CN"/>
              </w:rPr>
              <w:t>卫生健康决策支持数据分析服务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6.7</w:t>
            </w:r>
          </w:p>
        </w:tc>
      </w:tr>
    </w:tbl>
    <w:p>
      <w:pPr>
        <w:numPr>
          <w:ilvl w:val="0"/>
          <w:numId w:val="1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技术要求</w:t>
      </w:r>
    </w:p>
    <w:p>
      <w:pPr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（一）、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总体技术要求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为提升医疗机构医院管理水平，通过大数据对比分析与深度挖掘等方法，分析发现医疗机构在全省医疗卫生机构深化医疗卫生体制改革、绩效考核、专科发展方面特色亮点，找准发展劣势和问题，对标先进，比学赶超，是不断提升医疗机构竞争力，促进高质量发展的必要保障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（二）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FFFFFF"/>
          <w:lang w:val="en-US" w:eastAsia="zh-CN"/>
        </w:rPr>
        <w:t>具体技术要求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系统功能主要包括4大模块的内容:卫生资源与服务、人力资源分析、病案分析挖掘、医院管理KPI（医院等级评审指标监测、医院绩效考核）。</w:t>
      </w:r>
    </w:p>
    <w:tbl>
      <w:tblPr>
        <w:tblStyle w:val="1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71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7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功能要求</w:t>
            </w:r>
          </w:p>
        </w:tc>
        <w:tc>
          <w:tcPr>
            <w:tcW w:w="4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（1）卫生资源与服务模块：</w:t>
            </w:r>
          </w:p>
          <w:p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包含卫生资源、医疗服务、资产设备等各类数据主题，利用数据挖掘工具，以图形、报表等方式，为医院管理，监控，评价，预估等提供直观的、可视化、精细化的分析体系，为院领导快速掌握全院各项经营指标，提供及时正确的决策依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4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（2）人力资源统计分析模块：</w:t>
            </w:r>
          </w:p>
          <w:p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包括人力概况、人力结构、人员流动及人员信息一览表，满足医院对于人员流动情况的管理和分析需求。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4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（3）病案首页数据分析模块：</w:t>
            </w:r>
          </w:p>
          <w:p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提供病案首页质量监测、病案首页指标综合分析。包括出院人数、费用情况、平均住院日、疾病构成、重点疾病、重点手术、质量与安全等，协助医院提高医疗能力，改善医疗质量，优化重点学科弥补不足学科等提供决策依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4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（4）医院</w:t>
            </w: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医疗服务与质量分析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模块：</w:t>
            </w:r>
          </w:p>
          <w:p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提供医院等级评审指标监测、医疗服务与质量分析，为医院管理者提供全面的医院运营情况，帮助提供及时正确的决策依据。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ind w:firstLine="560" w:firstLineChars="200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4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  <w:tab w:val="left" w:pos="900"/>
              </w:tabs>
              <w:adjustRightInd w:val="0"/>
              <w:snapToGrid w:val="0"/>
              <w:spacing w:line="560" w:lineRule="exact"/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中医特色分析模块：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提供医院中医特色指标、中医收入、费用分析等情况，帮助提供决策依据。</w:t>
            </w:r>
          </w:p>
        </w:tc>
      </w:tr>
    </w:tbl>
    <w:p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asci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b/>
          <w:bCs/>
          <w:color w:val="000000"/>
          <w:sz w:val="32"/>
          <w:szCs w:val="32"/>
          <w:shd w:val="clear" w:color="auto" w:fill="FFFFFF"/>
        </w:rPr>
        <w:t>三</w:t>
      </w:r>
      <w:r>
        <w:rPr>
          <w:rFonts w:ascii="Times New Roman" w:cs="Times New Roman"/>
          <w:b/>
          <w:bCs/>
          <w:color w:val="000000"/>
          <w:sz w:val="32"/>
          <w:szCs w:val="32"/>
          <w:shd w:val="clear" w:color="auto" w:fill="FFFFFF"/>
        </w:rPr>
        <w:t>、商务要求</w:t>
      </w:r>
    </w:p>
    <w:p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</w:rPr>
      </w:pPr>
      <w:r>
        <w:rPr>
          <w:rFonts w:hint="eastAsia" w:ascii="Times New Roman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项目履约期限：</w:t>
      </w:r>
      <w:r>
        <w:rPr>
          <w:rFonts w:hint="eastAsia" w:asci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三年</w:t>
      </w:r>
      <w:r>
        <w:rPr>
          <w:rFonts w:hint="eastAsia" w:asci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服务地点：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成都市中西医结合医院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cs="Times New Roman"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预算金额：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6.7</w:t>
      </w:r>
      <w:r>
        <w:rPr>
          <w:rFonts w:hint="eastAsia" w:hAnsi="仿宋_GB2312"/>
          <w:sz w:val="32"/>
          <w:szCs w:val="32"/>
          <w:shd w:val="clear" w:color="auto" w:fill="FFFFFF"/>
        </w:rPr>
        <w:t>万元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/年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color w:val="000000"/>
          <w:kern w:val="2"/>
          <w:sz w:val="32"/>
          <w:szCs w:val="32"/>
          <w:lang w:val="en-US" w:eastAsia="zh-CN" w:bidi="ar-SA"/>
        </w:rPr>
        <w:t>（四）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付款方式：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按照医院流程进行支付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000000"/>
          <w:kern w:val="2"/>
          <w:sz w:val="32"/>
          <w:szCs w:val="32"/>
          <w:lang w:val="en-US" w:eastAsia="zh-CN" w:bidi="ar-SA"/>
        </w:rPr>
        <w:t>（五）</w:t>
      </w:r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验收要求：参照《财政部</w:t>
      </w:r>
      <w:bookmarkStart w:id="0" w:name="_GoBack"/>
      <w:bookmarkEnd w:id="0"/>
      <w:r>
        <w:rPr>
          <w:rFonts w:ascii="Times New Roman" w:cs="Times New Roman"/>
          <w:color w:val="000000"/>
          <w:sz w:val="32"/>
          <w:szCs w:val="32"/>
          <w:shd w:val="clear" w:color="auto" w:fill="FFFFFF"/>
        </w:rPr>
        <w:t>关于进一步加强政府采购需求和履约验收管理的指导意见》（财库〔2016〕205号）《政府采购需求管理办法》（财库〔2021〕22号）等相关法律法规的要求进行履约验收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>
    <w:pPr>
      <w:pStyle w:val="10"/>
      <w:rPr>
        <w:rFonts w:ascii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1C137"/>
    <w:multiLevelType w:val="singleLevel"/>
    <w:tmpl w:val="AB51C137"/>
    <w:lvl w:ilvl="0" w:tentative="0">
      <w:start w:val="5"/>
      <w:numFmt w:val="decimal"/>
      <w:suff w:val="nothing"/>
      <w:lvlText w:val="（%1）"/>
      <w:lvlJc w:val="left"/>
    </w:lvl>
  </w:abstractNum>
  <w:abstractNum w:abstractNumId="1">
    <w:nsid w:val="E8E34C94"/>
    <w:multiLevelType w:val="singleLevel"/>
    <w:tmpl w:val="E8E34C9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ZmUxZjUzMjY2OGYxMTk4N2M4YTc1ZjZhYTc3N2Y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3CF258E"/>
    <w:rsid w:val="094933C2"/>
    <w:rsid w:val="0A084DB9"/>
    <w:rsid w:val="0AB14F91"/>
    <w:rsid w:val="0BF53974"/>
    <w:rsid w:val="0F837E14"/>
    <w:rsid w:val="13683CA5"/>
    <w:rsid w:val="15AD43D5"/>
    <w:rsid w:val="17AC2592"/>
    <w:rsid w:val="18F578B8"/>
    <w:rsid w:val="1C772A8F"/>
    <w:rsid w:val="200801CE"/>
    <w:rsid w:val="208C4489"/>
    <w:rsid w:val="214866A3"/>
    <w:rsid w:val="24054E77"/>
    <w:rsid w:val="269428FC"/>
    <w:rsid w:val="28375E51"/>
    <w:rsid w:val="2B935195"/>
    <w:rsid w:val="31B5313F"/>
    <w:rsid w:val="374757D4"/>
    <w:rsid w:val="3AD7091B"/>
    <w:rsid w:val="3C0A5C4E"/>
    <w:rsid w:val="441D403E"/>
    <w:rsid w:val="46A915FC"/>
    <w:rsid w:val="4ACD0A41"/>
    <w:rsid w:val="4C42245F"/>
    <w:rsid w:val="4D086AFA"/>
    <w:rsid w:val="53FB15E8"/>
    <w:rsid w:val="55480368"/>
    <w:rsid w:val="580A0164"/>
    <w:rsid w:val="592A4A08"/>
    <w:rsid w:val="5949427D"/>
    <w:rsid w:val="59886781"/>
    <w:rsid w:val="59E529BF"/>
    <w:rsid w:val="5C163756"/>
    <w:rsid w:val="5F563847"/>
    <w:rsid w:val="63421633"/>
    <w:rsid w:val="692D5565"/>
    <w:rsid w:val="6A1D21C2"/>
    <w:rsid w:val="6C172E9A"/>
    <w:rsid w:val="6F69270C"/>
    <w:rsid w:val="71E72E8F"/>
    <w:rsid w:val="786A0DAB"/>
    <w:rsid w:val="7AEB2254"/>
    <w:rsid w:val="7B7F64D7"/>
    <w:rsid w:val="7C12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8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5">
    <w:name w:val="Normal Indent"/>
    <w:basedOn w:val="6"/>
    <w:next w:val="1"/>
    <w:qFormat/>
    <w:uiPriority w:val="0"/>
    <w:rPr>
      <w:rFonts w:ascii="Calibri"/>
      <w:sz w:val="21"/>
      <w:szCs w:val="24"/>
    </w:rPr>
  </w:style>
  <w:style w:type="paragraph" w:styleId="6">
    <w:name w:val="Body Text First Indent 2"/>
    <w:basedOn w:val="7"/>
    <w:unhideWhenUsed/>
    <w:qFormat/>
    <w:uiPriority w:val="99"/>
    <w:pPr>
      <w:ind w:firstLine="420" w:firstLineChars="200"/>
    </w:pPr>
  </w:style>
  <w:style w:type="paragraph" w:styleId="7">
    <w:name w:val="Body Text Indent"/>
    <w:basedOn w:val="1"/>
    <w:next w:val="5"/>
    <w:qFormat/>
    <w:uiPriority w:val="0"/>
    <w:pPr>
      <w:ind w:firstLine="630"/>
    </w:pPr>
    <w:rPr>
      <w:sz w:val="32"/>
    </w:rPr>
  </w:style>
  <w:style w:type="paragraph" w:styleId="8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9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10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2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2"/>
    <w:next w:val="9"/>
    <w:qFormat/>
    <w:uiPriority w:val="0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basedOn w:val="15"/>
    <w:link w:val="11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页脚 Char"/>
    <w:basedOn w:val="15"/>
    <w:link w:val="10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8">
    <w:name w:val="正文文本 Char"/>
    <w:link w:val="2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9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2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883</Words>
  <Characters>900</Characters>
  <Lines>18</Lines>
  <Paragraphs>5</Paragraphs>
  <TotalTime>1</TotalTime>
  <ScaleCrop>false</ScaleCrop>
  <LinksUpToDate>false</LinksUpToDate>
  <CharactersWithSpaces>900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阿川</cp:lastModifiedBy>
  <dcterms:modified xsi:type="dcterms:W3CDTF">2024-10-22T03:16:43Z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10CC5B7249F845C0ADC3E4783AF7AABF_13</vt:lpwstr>
  </property>
</Properties>
</file>