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2"/>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2"/>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049CC30E">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rPr>
      </w:pPr>
      <w:r>
        <w:rPr>
          <w:rFonts w:ascii="Times New Roman" w:eastAsia="黑体" w:cs="Times New Roman"/>
          <w:sz w:val="32"/>
          <w:szCs w:val="32"/>
          <w:shd w:val="clear" w:color="auto" w:fill="FFFFFF"/>
        </w:rPr>
        <w:t>一、比选项目</w:t>
      </w:r>
      <w:r>
        <w:rPr>
          <w:rFonts w:hint="eastAsia" w:ascii="Times New Roman" w:eastAsia="黑体" w:cs="Times New Roman"/>
          <w:sz w:val="32"/>
          <w:szCs w:val="32"/>
          <w:shd w:val="clear" w:color="auto" w:fill="FFFFFF"/>
        </w:rPr>
        <w:t>内容</w:t>
      </w:r>
    </w:p>
    <w:p w14:paraId="7A3E3367">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本项目共1个</w:t>
      </w:r>
      <w:r>
        <w:rPr>
          <w:rFonts w:hint="eastAsia" w:hAnsi="仿宋_GB2312"/>
          <w:sz w:val="32"/>
          <w:szCs w:val="32"/>
          <w:shd w:val="clear" w:color="auto" w:fill="FFFFFF"/>
          <w:lang w:val="en-US" w:eastAsia="zh-CN"/>
        </w:rPr>
        <w:t>包件</w:t>
      </w:r>
      <w:r>
        <w:rPr>
          <w:rFonts w:hint="eastAsia" w:hAnsi="仿宋_GB2312"/>
          <w:sz w:val="32"/>
          <w:szCs w:val="32"/>
          <w:shd w:val="clear" w:color="auto" w:fill="FFFFFF"/>
        </w:rPr>
        <w:t>，采购</w:t>
      </w:r>
      <w:r>
        <w:rPr>
          <w:rFonts w:hint="eastAsia" w:hAnsi="仿宋_GB2312"/>
          <w:sz w:val="32"/>
          <w:szCs w:val="32"/>
          <w:shd w:val="clear" w:color="auto" w:fill="FFFFFF"/>
          <w:lang w:val="en-US" w:eastAsia="zh-CN"/>
        </w:rPr>
        <w:t>医院</w:t>
      </w:r>
      <w:r>
        <w:rPr>
          <w:rFonts w:hint="eastAsia" w:ascii="Times New Roman" w:cs="Times New Roman"/>
          <w:sz w:val="32"/>
          <w:szCs w:val="32"/>
          <w:shd w:val="clear" w:color="auto" w:fill="FFFFFF"/>
          <w:lang w:eastAsia="zh-CN"/>
        </w:rPr>
        <w:t>GCP研究性病房应急电源项目</w:t>
      </w:r>
      <w:r>
        <w:rPr>
          <w:rFonts w:hint="eastAsia" w:hAnsi="仿宋_GB2312"/>
          <w:sz w:val="32"/>
          <w:szCs w:val="32"/>
          <w:shd w:val="clear" w:color="auto" w:fill="FFFFFF"/>
        </w:rPr>
        <w:t>，总预算金额</w:t>
      </w:r>
      <w:r>
        <w:rPr>
          <w:rFonts w:hint="eastAsia" w:hAnsi="仿宋_GB2312"/>
          <w:sz w:val="32"/>
          <w:szCs w:val="32"/>
          <w:shd w:val="clear" w:color="auto" w:fill="FFFFFF"/>
          <w:lang w:val="en-US" w:eastAsia="zh-CN"/>
        </w:rPr>
        <w:t>1.6万元</w:t>
      </w:r>
      <w:r>
        <w:rPr>
          <w:rFonts w:hint="eastAsia" w:hAnsi="仿宋_GB2312"/>
          <w:sz w:val="32"/>
          <w:szCs w:val="32"/>
          <w:shd w:val="clear" w:color="auto" w:fill="FFFFFF"/>
        </w:rPr>
        <w:t>。</w:t>
      </w:r>
    </w:p>
    <w:tbl>
      <w:tblPr>
        <w:tblStyle w:val="1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83"/>
        <w:gridCol w:w="1957"/>
        <w:gridCol w:w="2461"/>
      </w:tblGrid>
      <w:tr w14:paraId="091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5" w:type="dxa"/>
            <w:noWrap w:val="0"/>
            <w:vAlign w:val="center"/>
          </w:tcPr>
          <w:p w14:paraId="1E40C3DE">
            <w:pPr>
              <w:shd w:val="clear" w:color="auto" w:fill="FFFFFF"/>
              <w:tabs>
                <w:tab w:val="left" w:pos="720"/>
              </w:tabs>
              <w:snapToGrid w:val="0"/>
              <w:spacing w:line="400" w:lineRule="exact"/>
              <w:jc w:val="center"/>
              <w:rPr>
                <w:rFonts w:hint="eastAsia" w:ascii="Times New Roman" w:eastAsia="仿宋_GB2312" w:cs="Times New Roman"/>
                <w:b/>
                <w:sz w:val="28"/>
                <w:szCs w:val="28"/>
                <w:shd w:val="clear" w:color="auto" w:fill="FFFFFF"/>
                <w:lang w:eastAsia="zh-CN"/>
              </w:rPr>
            </w:pPr>
            <w:r>
              <w:rPr>
                <w:rFonts w:hint="eastAsia" w:ascii="Times New Roman" w:cs="Times New Roman"/>
                <w:b/>
                <w:sz w:val="28"/>
                <w:szCs w:val="28"/>
                <w:shd w:val="clear" w:color="auto" w:fill="FFFFFF"/>
                <w:lang w:val="en-US" w:eastAsia="zh-CN"/>
              </w:rPr>
              <w:t>序号</w:t>
            </w:r>
          </w:p>
        </w:tc>
        <w:tc>
          <w:tcPr>
            <w:tcW w:w="3983" w:type="dxa"/>
            <w:noWrap w:val="0"/>
            <w:vAlign w:val="center"/>
          </w:tcPr>
          <w:p w14:paraId="107C9011">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957" w:type="dxa"/>
            <w:noWrap w:val="0"/>
            <w:vAlign w:val="center"/>
          </w:tcPr>
          <w:p w14:paraId="397C1C4F">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套</w:t>
            </w:r>
            <w:r>
              <w:rPr>
                <w:rFonts w:hint="eastAsia" w:ascii="Times New Roman" w:cs="Times New Roman"/>
                <w:b/>
                <w:sz w:val="28"/>
                <w:szCs w:val="28"/>
                <w:shd w:val="clear" w:color="auto" w:fill="FFFFFF"/>
              </w:rPr>
              <w:t>）</w:t>
            </w:r>
          </w:p>
        </w:tc>
        <w:tc>
          <w:tcPr>
            <w:tcW w:w="2461" w:type="dxa"/>
            <w:noWrap w:val="0"/>
            <w:vAlign w:val="center"/>
          </w:tcPr>
          <w:p w14:paraId="7AE13433">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预算金额（万元）</w:t>
            </w:r>
          </w:p>
        </w:tc>
      </w:tr>
      <w:tr w14:paraId="339C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5" w:type="dxa"/>
            <w:noWrap w:val="0"/>
            <w:vAlign w:val="center"/>
          </w:tcPr>
          <w:p w14:paraId="1CAA6666">
            <w:pPr>
              <w:tabs>
                <w:tab w:val="left" w:pos="720"/>
                <w:tab w:val="left" w:pos="900"/>
              </w:tabs>
              <w:snapToGrid w:val="0"/>
              <w:spacing w:line="400" w:lineRule="exact"/>
              <w:jc w:val="center"/>
              <w:rPr>
                <w:rFonts w:ascii="Times New Roman" w:cs="Times New Roman"/>
                <w:sz w:val="28"/>
                <w:szCs w:val="28"/>
                <w:shd w:val="clear" w:color="auto" w:fill="FFFFFF"/>
              </w:rPr>
            </w:pPr>
            <w:r>
              <w:rPr>
                <w:rFonts w:ascii="Times New Roman" w:cs="Times New Roman"/>
                <w:sz w:val="32"/>
                <w:szCs w:val="32"/>
                <w:shd w:val="clear" w:color="auto" w:fill="FFFFFF"/>
              </w:rPr>
              <w:t>1</w:t>
            </w:r>
          </w:p>
        </w:tc>
        <w:tc>
          <w:tcPr>
            <w:tcW w:w="3983" w:type="dxa"/>
            <w:noWrap w:val="0"/>
            <w:vAlign w:val="center"/>
          </w:tcPr>
          <w:p w14:paraId="6C64E131">
            <w:pPr>
              <w:tabs>
                <w:tab w:val="left" w:pos="720"/>
                <w:tab w:val="left" w:pos="900"/>
              </w:tabs>
              <w:snapToGrid w:val="0"/>
              <w:spacing w:line="400" w:lineRule="exact"/>
              <w:jc w:val="center"/>
              <w:rPr>
                <w:rFonts w:hint="eastAsia" w:ascii="Times New Roman" w:eastAsia="仿宋_GB2312" w:cs="Times New Roman"/>
                <w:sz w:val="28"/>
                <w:szCs w:val="28"/>
                <w:shd w:val="clear" w:color="auto" w:fill="FFFFFF"/>
                <w:lang w:eastAsia="zh-CN"/>
              </w:rPr>
            </w:pPr>
            <w:r>
              <w:rPr>
                <w:rFonts w:hint="eastAsia" w:ascii="Times New Roman" w:cs="Times New Roman"/>
                <w:sz w:val="32"/>
                <w:szCs w:val="32"/>
                <w:shd w:val="clear" w:color="auto" w:fill="FFFFFF"/>
                <w:lang w:eastAsia="zh-CN"/>
              </w:rPr>
              <w:t>GCP研究性病房应急电源</w:t>
            </w:r>
          </w:p>
        </w:tc>
        <w:tc>
          <w:tcPr>
            <w:tcW w:w="1957" w:type="dxa"/>
            <w:noWrap w:val="0"/>
            <w:vAlign w:val="center"/>
          </w:tcPr>
          <w:p w14:paraId="6BED2A59">
            <w:pPr>
              <w:spacing w:line="400" w:lineRule="exact"/>
              <w:jc w:val="center"/>
            </w:pPr>
            <w:r>
              <w:rPr>
                <w:rFonts w:hint="eastAsia" w:ascii="Times New Roman" w:cs="Times New Roman"/>
                <w:sz w:val="28"/>
                <w:szCs w:val="28"/>
                <w:shd w:val="clear" w:color="auto" w:fill="FFFFFF"/>
              </w:rPr>
              <w:t>1</w:t>
            </w:r>
          </w:p>
        </w:tc>
        <w:tc>
          <w:tcPr>
            <w:tcW w:w="2461" w:type="dxa"/>
            <w:noWrap w:val="0"/>
            <w:vAlign w:val="center"/>
          </w:tcPr>
          <w:p w14:paraId="5F5DD5F1">
            <w:pPr>
              <w:spacing w:line="400" w:lineRule="exact"/>
              <w:jc w:val="center"/>
              <w:rPr>
                <w:rFonts w:hint="default"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1.6</w:t>
            </w:r>
          </w:p>
        </w:tc>
      </w:tr>
    </w:tbl>
    <w:p w14:paraId="4189DD58">
      <w:pPr>
        <w:numPr>
          <w:ilvl w:val="0"/>
          <w:numId w:val="1"/>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技术要求</w:t>
      </w:r>
    </w:p>
    <w:tbl>
      <w:tblPr>
        <w:tblStyle w:val="12"/>
        <w:tblW w:w="51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
        <w:gridCol w:w="1403"/>
        <w:gridCol w:w="4517"/>
        <w:gridCol w:w="660"/>
        <w:gridCol w:w="1218"/>
      </w:tblGrid>
      <w:tr w14:paraId="1661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14:paraId="3BB9188C">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487143A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产品名称</w:t>
            </w:r>
          </w:p>
        </w:tc>
        <w:tc>
          <w:tcPr>
            <w:tcW w:w="2575" w:type="pct"/>
            <w:tcBorders>
              <w:top w:val="single" w:color="000000" w:sz="4" w:space="0"/>
              <w:left w:val="single" w:color="000000" w:sz="4" w:space="0"/>
              <w:bottom w:val="single" w:color="000000" w:sz="4" w:space="0"/>
              <w:right w:val="single" w:color="000000" w:sz="4" w:space="0"/>
            </w:tcBorders>
            <w:noWrap w:val="0"/>
            <w:vAlign w:val="center"/>
          </w:tcPr>
          <w:p w14:paraId="5DE6CD3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技术参数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318F24">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单位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9D24A84">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数量</w:t>
            </w:r>
          </w:p>
        </w:tc>
      </w:tr>
      <w:tr w14:paraId="4200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14:paraId="0FA01ABC">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5532642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应急电源</w:t>
            </w:r>
          </w:p>
        </w:tc>
        <w:tc>
          <w:tcPr>
            <w:tcW w:w="2575" w:type="pct"/>
            <w:tcBorders>
              <w:top w:val="single" w:color="000000" w:sz="4" w:space="0"/>
              <w:left w:val="single" w:color="000000" w:sz="4" w:space="0"/>
              <w:bottom w:val="single" w:color="000000" w:sz="4" w:space="0"/>
              <w:right w:val="single" w:color="000000" w:sz="4" w:space="0"/>
            </w:tcBorders>
            <w:noWrap w:val="0"/>
            <w:vAlign w:val="center"/>
          </w:tcPr>
          <w:p w14:paraId="25AC40A9">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lang w:val="en-US" w:eastAsia="zh-CN" w:bidi="ar"/>
              </w:rPr>
              <w:t>1.</w:t>
            </w:r>
            <w:r>
              <w:rPr>
                <w:rFonts w:hint="eastAsia" w:ascii="仿宋_GB2312" w:hAnsi="仿宋_GB2312" w:eastAsia="仿宋_GB2312" w:cs="仿宋_GB2312"/>
                <w:b w:val="0"/>
                <w:bCs w:val="0"/>
                <w:i w:val="0"/>
                <w:iCs w:val="0"/>
                <w:color w:val="000000"/>
                <w:kern w:val="0"/>
                <w:sz w:val="28"/>
                <w:szCs w:val="28"/>
                <w:u w:val="none"/>
                <w:lang w:val="en-US" w:eastAsia="zh-CN" w:bidi="ar"/>
              </w:rPr>
              <w:t xml:space="preserve">额定容量： 6KVA </w:t>
            </w:r>
          </w:p>
          <w:p w14:paraId="05986913">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2.输入电压范围： 120-276V</w:t>
            </w:r>
          </w:p>
          <w:p w14:paraId="1FE72708">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3.输入频率范围： 45-55Hz</w:t>
            </w:r>
          </w:p>
          <w:p w14:paraId="7A4C97C4">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4.输入功因： ＞0.99</w:t>
            </w:r>
          </w:p>
          <w:p w14:paraId="7BE317C4">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5.输出电压范围： 220V</w:t>
            </w:r>
          </w:p>
          <w:p w14:paraId="081B111C">
            <w:pPr>
              <w:keepNext w:val="0"/>
              <w:keepLines w:val="0"/>
              <w:pageBreakBefore w:val="0"/>
              <w:widowControl/>
              <w:numPr>
                <w:ilvl w:val="0"/>
                <w:numId w:val="0"/>
              </w:numPr>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6.输出频率范围： 50Hz</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43DEB6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F509ABD">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r>
      <w:tr w14:paraId="6AED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14:paraId="2607A57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1F42DCF3">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蓄电池</w:t>
            </w:r>
          </w:p>
        </w:tc>
        <w:tc>
          <w:tcPr>
            <w:tcW w:w="2575" w:type="pct"/>
            <w:tcBorders>
              <w:top w:val="single" w:color="000000" w:sz="4" w:space="0"/>
              <w:left w:val="single" w:color="000000" w:sz="4" w:space="0"/>
              <w:bottom w:val="single" w:color="000000" w:sz="4" w:space="0"/>
              <w:right w:val="single" w:color="000000" w:sz="4" w:space="0"/>
            </w:tcBorders>
            <w:noWrap w:val="0"/>
            <w:vAlign w:val="center"/>
          </w:tcPr>
          <w:p w14:paraId="338C0A82">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r>
              <w:rPr>
                <w:rFonts w:hint="eastAsia" w:ascii="仿宋_GB2312" w:hAnsi="仿宋_GB2312" w:eastAsia="仿宋_GB2312" w:cs="仿宋_GB2312"/>
                <w:i w:val="0"/>
                <w:iCs w:val="0"/>
                <w:caps w:val="0"/>
                <w:color w:val="auto"/>
                <w:spacing w:val="0"/>
                <w:sz w:val="28"/>
                <w:szCs w:val="28"/>
                <w:shd w:val="clear" w:color="auto" w:fill="FFFFFF"/>
              </w:rPr>
              <w:t>额定容量</w:t>
            </w:r>
            <w:r>
              <w:rPr>
                <w:rFonts w:hint="eastAsia" w:ascii="仿宋_GB2312" w:hAnsi="仿宋_GB2312" w:eastAsia="仿宋_GB2312" w:cs="仿宋_GB2312"/>
                <w:i w:val="0"/>
                <w:iCs w:val="0"/>
                <w:caps w:val="0"/>
                <w:color w:val="auto"/>
                <w:spacing w:val="0"/>
                <w:sz w:val="28"/>
                <w:szCs w:val="28"/>
                <w:shd w:val="clear" w:color="auto" w:fill="FFFFFF"/>
                <w:lang w:eastAsia="zh-CN"/>
              </w:rPr>
              <w:t>：</w:t>
            </w:r>
            <w:r>
              <w:rPr>
                <w:rFonts w:hint="eastAsia" w:ascii="仿宋_GB2312" w:hAnsi="仿宋_GB2312" w:eastAsia="仿宋_GB2312" w:cs="仿宋_GB2312"/>
                <w:b w:val="0"/>
                <w:bCs w:val="0"/>
                <w:i w:val="0"/>
                <w:iCs w:val="0"/>
                <w:color w:val="000000"/>
                <w:kern w:val="0"/>
                <w:sz w:val="28"/>
                <w:szCs w:val="28"/>
                <w:u w:val="none"/>
                <w:lang w:val="en-US" w:eastAsia="zh-CN" w:bidi="ar"/>
              </w:rPr>
              <w:t>12V100AH</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36FC763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节</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F68E7E1">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16</w:t>
            </w:r>
          </w:p>
        </w:tc>
      </w:tr>
      <w:tr w14:paraId="09F8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14:paraId="2763D30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2BDD6F6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电池柜</w:t>
            </w:r>
          </w:p>
        </w:tc>
        <w:tc>
          <w:tcPr>
            <w:tcW w:w="2575" w:type="pct"/>
            <w:tcBorders>
              <w:top w:val="single" w:color="000000" w:sz="4" w:space="0"/>
              <w:left w:val="single" w:color="000000" w:sz="4" w:space="0"/>
              <w:bottom w:val="single" w:color="000000" w:sz="4" w:space="0"/>
              <w:right w:val="single" w:color="000000" w:sz="4" w:space="0"/>
            </w:tcBorders>
            <w:noWrap w:val="0"/>
            <w:vAlign w:val="center"/>
          </w:tcPr>
          <w:p w14:paraId="01440F1B">
            <w:pPr>
              <w:keepNext w:val="0"/>
              <w:keepLines w:val="0"/>
              <w:pageBreakBefore w:val="0"/>
              <w:widowControl/>
              <w:suppressLineNumbers w:val="0"/>
              <w:kinsoku/>
              <w:wordWrap w:val="0"/>
              <w:overflowPunct/>
              <w:topLinePunct/>
              <w:autoSpaceDE/>
              <w:autoSpaceDN/>
              <w:bidi w:val="0"/>
              <w:adjustRightInd/>
              <w:snapToGrid/>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1.规格：16节柜</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1D150D2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CC23F2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r>
      <w:tr w14:paraId="1B20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2" w:hRule="atLeast"/>
          <w:jc w:val="center"/>
        </w:trPr>
        <w:tc>
          <w:tcPr>
            <w:tcW w:w="552" w:type="pct"/>
            <w:tcBorders>
              <w:top w:val="single" w:color="000000" w:sz="4" w:space="0"/>
              <w:left w:val="single" w:color="000000" w:sz="4" w:space="0"/>
              <w:bottom w:val="single" w:color="000000" w:sz="4" w:space="0"/>
              <w:right w:val="single" w:color="000000" w:sz="4" w:space="0"/>
            </w:tcBorders>
            <w:noWrap w:val="0"/>
            <w:vAlign w:val="center"/>
          </w:tcPr>
          <w:p w14:paraId="7A6E61F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44C04719">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配电改造服务</w:t>
            </w:r>
          </w:p>
        </w:tc>
        <w:tc>
          <w:tcPr>
            <w:tcW w:w="2575" w:type="pct"/>
            <w:tcBorders>
              <w:top w:val="single" w:color="000000" w:sz="4" w:space="0"/>
              <w:left w:val="single" w:color="000000" w:sz="4" w:space="0"/>
              <w:bottom w:val="single" w:color="000000" w:sz="4" w:space="0"/>
              <w:right w:val="single" w:color="000000" w:sz="4" w:space="0"/>
            </w:tcBorders>
            <w:noWrap w:val="0"/>
            <w:vAlign w:val="center"/>
          </w:tcPr>
          <w:p w14:paraId="08FB4E10">
            <w:pPr>
              <w:pStyle w:val="20"/>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1.对13楼药品存储室的原应急电源进行拆除，根据甲方计划时间配合冷藏设备搬运；</w:t>
            </w:r>
          </w:p>
          <w:p w14:paraId="25408DCC">
            <w:pPr>
              <w:pStyle w:val="20"/>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Chars="0" w:firstLine="0" w:firstLineChars="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2.对9楼药品储藏室进行配电设计并敷设线缆，满足应急电源输入输出配电要求，为负载设备设置合适的供电开关、插座等；</w:t>
            </w:r>
          </w:p>
          <w:p w14:paraId="294E3C75">
            <w:pPr>
              <w:pStyle w:val="20"/>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Chars="0" w:firstLine="0" w:firstLineChars="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3.在9楼药品储藏室1进行旧的应急电源设备的安装调试；在9楼药品储藏室2进行新的应急电源设备的安装调试。</w:t>
            </w:r>
          </w:p>
          <w:p w14:paraId="34FAE28D">
            <w:pPr>
              <w:pStyle w:val="20"/>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Chars="0" w:firstLine="0" w:firstLineChars="0"/>
              <w:jc w:val="left"/>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4.以上(含二次搬运、辅材、施工、调试开机）。</w:t>
            </w:r>
          </w:p>
          <w:p w14:paraId="46112454">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52DE8F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800B255">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r>
    </w:tbl>
    <w:p w14:paraId="332772F1">
      <w:pPr>
        <w:shd w:val="clear" w:color="auto" w:fill="FFFFFF"/>
        <w:tabs>
          <w:tab w:val="left" w:pos="720"/>
          <w:tab w:val="left" w:pos="900"/>
        </w:tabs>
        <w:snapToGrid w:val="0"/>
        <w:spacing w:line="560" w:lineRule="exact"/>
        <w:ind w:firstLine="643" w:firstLineChars="200"/>
        <w:rPr>
          <w:rFonts w:ascii="Times New Roman" w:cs="Times New Roman"/>
          <w:b/>
          <w:bCs/>
          <w:color w:val="000000"/>
          <w:sz w:val="32"/>
          <w:szCs w:val="32"/>
          <w:shd w:val="clear" w:color="auto" w:fill="FFFFFF"/>
        </w:rPr>
      </w:pPr>
      <w:r>
        <w:rPr>
          <w:rFonts w:hint="eastAsia" w:ascii="Times New Roman" w:cs="Times New Roman"/>
          <w:b/>
          <w:bCs/>
          <w:color w:val="000000"/>
          <w:sz w:val="32"/>
          <w:szCs w:val="32"/>
          <w:shd w:val="clear" w:color="auto" w:fill="FFFFFF"/>
        </w:rPr>
        <w:t>三</w:t>
      </w:r>
      <w:r>
        <w:rPr>
          <w:rFonts w:ascii="Times New Roman" w:cs="Times New Roman"/>
          <w:b/>
          <w:bCs/>
          <w:color w:val="000000"/>
          <w:sz w:val="32"/>
          <w:szCs w:val="32"/>
          <w:shd w:val="clear" w:color="auto" w:fill="FFFFFF"/>
        </w:rPr>
        <w:t>、商务要求</w:t>
      </w:r>
    </w:p>
    <w:p w14:paraId="3E977A91">
      <w:pPr>
        <w:numPr>
          <w:ilvl w:val="0"/>
          <w:numId w:val="0"/>
        </w:num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cs="Times New Roman"/>
          <w:color w:val="000000"/>
          <w:kern w:val="2"/>
          <w:sz w:val="32"/>
          <w:szCs w:val="32"/>
          <w:lang w:val="en-US" w:eastAsia="zh-CN" w:bidi="ar-SA"/>
        </w:rPr>
        <w:t>（一）</w:t>
      </w:r>
      <w:r>
        <w:rPr>
          <w:rFonts w:ascii="Times New Roman" w:cs="Times New Roman"/>
          <w:color w:val="000000"/>
          <w:sz w:val="32"/>
          <w:szCs w:val="32"/>
          <w:shd w:val="clear" w:color="auto" w:fill="FFFFFF"/>
        </w:rPr>
        <w:t>项目履约期限：</w:t>
      </w:r>
      <w:r>
        <w:rPr>
          <w:rFonts w:hint="eastAsia" w:ascii="Times New Roman" w:hAnsi="Times New Roman" w:cs="Times New Roman"/>
          <w:color w:val="000000"/>
          <w:sz w:val="32"/>
          <w:szCs w:val="32"/>
          <w:shd w:val="clear" w:color="auto" w:fill="FFFFFF"/>
          <w:lang w:val="en-US" w:eastAsia="zh-CN"/>
        </w:rPr>
        <w:t>合同签订后7日内完成安装和调试</w:t>
      </w:r>
      <w:r>
        <w:rPr>
          <w:rFonts w:hint="eastAsia" w:ascii="Times New Roman" w:hAnsi="Times New Roman" w:eastAsia="仿宋_GB2312" w:cs="Times New Roman"/>
          <w:color w:val="auto"/>
          <w:sz w:val="32"/>
          <w:szCs w:val="32"/>
          <w:shd w:val="clear" w:color="auto" w:fill="FFFFFF"/>
          <w:lang w:val="en-US" w:eastAsia="zh-CN"/>
        </w:rPr>
        <w:t>。</w:t>
      </w:r>
    </w:p>
    <w:p w14:paraId="76A1DF05">
      <w:pPr>
        <w:numPr>
          <w:ilvl w:val="0"/>
          <w:numId w:val="0"/>
        </w:num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cs="Times New Roman"/>
          <w:color w:val="000000"/>
          <w:kern w:val="2"/>
          <w:sz w:val="32"/>
          <w:szCs w:val="32"/>
          <w:lang w:val="en-US" w:eastAsia="zh-CN" w:bidi="ar-SA"/>
        </w:rPr>
        <w:t>（二）项目质保期：5年。</w:t>
      </w:r>
    </w:p>
    <w:p w14:paraId="20046195">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（三）</w:t>
      </w:r>
      <w:r>
        <w:rPr>
          <w:rFonts w:ascii="Times New Roman" w:cs="Times New Roman"/>
          <w:color w:val="000000"/>
          <w:sz w:val="32"/>
          <w:szCs w:val="32"/>
          <w:shd w:val="clear" w:color="auto" w:fill="FFFFFF"/>
        </w:rPr>
        <w:t>服务地点：</w:t>
      </w:r>
      <w:r>
        <w:rPr>
          <w:rFonts w:hint="eastAsia" w:ascii="Times New Roman" w:cs="Times New Roman"/>
          <w:sz w:val="32"/>
          <w:szCs w:val="32"/>
          <w:shd w:val="clear" w:color="auto" w:fill="FFFFFF"/>
        </w:rPr>
        <w:t>成都市中西医结合医院</w:t>
      </w:r>
      <w:r>
        <w:rPr>
          <w:rFonts w:ascii="Times New Roman" w:cs="Times New Roman"/>
          <w:color w:val="000000"/>
          <w:sz w:val="32"/>
          <w:szCs w:val="32"/>
          <w:shd w:val="clear" w:color="auto" w:fill="FFFFFF"/>
        </w:rPr>
        <w:t>。</w:t>
      </w:r>
    </w:p>
    <w:p w14:paraId="7C0F75A7">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000000"/>
          <w:sz w:val="32"/>
          <w:szCs w:val="32"/>
          <w:shd w:val="clear" w:color="auto" w:fill="FFFFFF"/>
          <w:lang w:eastAsia="zh-CN"/>
        </w:rPr>
      </w:pPr>
      <w:r>
        <w:rPr>
          <w:rFonts w:hint="eastAsia" w:ascii="Times New Roman" w:cs="Times New Roman"/>
          <w:color w:val="000000"/>
          <w:kern w:val="2"/>
          <w:sz w:val="32"/>
          <w:szCs w:val="32"/>
          <w:lang w:val="en-US" w:eastAsia="zh-CN" w:bidi="ar-SA"/>
        </w:rPr>
        <w:t>（四）</w:t>
      </w:r>
      <w:r>
        <w:rPr>
          <w:rFonts w:ascii="Times New Roman" w:cs="Times New Roman"/>
          <w:color w:val="000000"/>
          <w:sz w:val="32"/>
          <w:szCs w:val="32"/>
          <w:shd w:val="clear" w:color="auto" w:fill="FFFFFF"/>
        </w:rPr>
        <w:t>预算金额：</w:t>
      </w:r>
      <w:r>
        <w:rPr>
          <w:rFonts w:hint="eastAsia" w:ascii="Times New Roman" w:cs="Times New Roman"/>
          <w:color w:val="000000"/>
          <w:sz w:val="32"/>
          <w:szCs w:val="32"/>
          <w:shd w:val="clear" w:color="auto" w:fill="FFFFFF"/>
          <w:lang w:val="en-US" w:eastAsia="zh-CN"/>
        </w:rPr>
        <w:t>1.6</w:t>
      </w:r>
      <w:r>
        <w:rPr>
          <w:rFonts w:hint="eastAsia" w:hAnsi="仿宋_GB2312"/>
          <w:sz w:val="32"/>
          <w:szCs w:val="32"/>
          <w:shd w:val="clear" w:color="auto" w:fill="FFFFFF"/>
        </w:rPr>
        <w:t>万元</w:t>
      </w:r>
      <w:r>
        <w:rPr>
          <w:rFonts w:hint="eastAsia" w:hAnsi="仿宋_GB2312"/>
          <w:sz w:val="32"/>
          <w:szCs w:val="32"/>
          <w:shd w:val="clear" w:color="auto" w:fill="FFFFFF"/>
          <w:lang w:eastAsia="zh-CN"/>
        </w:rPr>
        <w:t>。</w:t>
      </w:r>
    </w:p>
    <w:p w14:paraId="7E2754CC">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（五）</w:t>
      </w:r>
      <w:r>
        <w:rPr>
          <w:rFonts w:ascii="Times New Roman" w:cs="Times New Roman"/>
          <w:color w:val="000000"/>
          <w:sz w:val="32"/>
          <w:szCs w:val="32"/>
          <w:shd w:val="clear" w:color="auto" w:fill="FFFFFF"/>
        </w:rPr>
        <w:t>付款方式：</w:t>
      </w:r>
      <w:r>
        <w:rPr>
          <w:rFonts w:hint="eastAsia" w:hAnsi="仿宋_GB2312" w:cs="仿宋_GB2312"/>
          <w:sz w:val="32"/>
          <w:szCs w:val="32"/>
          <w:shd w:val="clear" w:color="auto" w:fill="FFFFFF"/>
          <w:lang w:val="en-US" w:eastAsia="zh-CN"/>
        </w:rPr>
        <w:t>安装完成通过验收后甲方收到乙方开具的合法票据及相关付款资料后10个工作日内甲方一次性付款100％</w:t>
      </w:r>
      <w:r>
        <w:rPr>
          <w:rFonts w:ascii="Times New Roman" w:cs="Times New Roman"/>
          <w:color w:val="000000"/>
          <w:sz w:val="32"/>
          <w:szCs w:val="32"/>
          <w:shd w:val="clear" w:color="auto" w:fill="FFFFFF"/>
        </w:rPr>
        <w:t>。</w:t>
      </w:r>
    </w:p>
    <w:p w14:paraId="01D35B0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sz w:val="32"/>
          <w:szCs w:val="32"/>
          <w:shd w:val="clear" w:color="auto" w:fill="FFFFFF"/>
        </w:rPr>
      </w:pPr>
      <w:r>
        <w:rPr>
          <w:rFonts w:hint="eastAsia" w:ascii="Times New Roman" w:cs="Times New Roman"/>
          <w:color w:val="000000"/>
          <w:kern w:val="2"/>
          <w:sz w:val="32"/>
          <w:szCs w:val="32"/>
          <w:lang w:val="en-US" w:eastAsia="zh-CN" w:bidi="ar-SA"/>
        </w:rPr>
        <w:t>（六）</w:t>
      </w:r>
      <w:r>
        <w:rPr>
          <w:rFonts w:ascii="Times New Roman" w:cs="Times New Roman"/>
          <w:color w:val="000000"/>
          <w:sz w:val="32"/>
          <w:szCs w:val="32"/>
          <w:shd w:val="clear" w:color="auto" w:fill="FFFFFF"/>
        </w:rPr>
        <w:t>验收要求：参照《财政部关于进一步加强政府采购需求和履约验收管理的指导意见》（财库〔2016〕205号）《政府采购需求管理办法》（财库〔2021〕22号）等相关法律法规的要求进行履约验收</w:t>
      </w:r>
      <w:r>
        <w:rPr>
          <w:rFonts w:hint="eastAsia" w:ascii="Times New Roman" w:cs="Times New Roman"/>
          <w:sz w:val="32"/>
          <w:szCs w:val="32"/>
          <w:shd w:val="clear" w:color="auto" w:fill="FFFFFF"/>
        </w:rPr>
        <w:t>。</w:t>
      </w:r>
    </w:p>
    <w:p w14:paraId="464295E3">
      <w:pPr>
        <w:pStyle w:val="7"/>
        <w:ind w:firstLine="640" w:firstLineChars="200"/>
        <w:rPr>
          <w:rFonts w:hint="eastAsia" w:ascii="Times New Roman" w:hAnsi="Times New Roman" w:eastAsia="仿宋_GB2312" w:cs="Times New Roman"/>
          <w:color w:val="000000"/>
          <w:kern w:val="2"/>
          <w:sz w:val="32"/>
          <w:szCs w:val="32"/>
          <w:shd w:val="clear" w:color="auto" w:fill="FFFFFF"/>
          <w:lang w:val="en-US" w:eastAsia="zh-CN" w:bidi="ar-SA"/>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34C94"/>
    <w:multiLevelType w:val="singleLevel"/>
    <w:tmpl w:val="E8E34C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94933C2"/>
    <w:rsid w:val="0A084DB9"/>
    <w:rsid w:val="0AB14F91"/>
    <w:rsid w:val="0AC6631E"/>
    <w:rsid w:val="0BF53974"/>
    <w:rsid w:val="0D966565"/>
    <w:rsid w:val="0F837E14"/>
    <w:rsid w:val="13683CA5"/>
    <w:rsid w:val="15AD43D5"/>
    <w:rsid w:val="17AC2592"/>
    <w:rsid w:val="1C772A8F"/>
    <w:rsid w:val="200801CE"/>
    <w:rsid w:val="208C4489"/>
    <w:rsid w:val="24054E77"/>
    <w:rsid w:val="269428FC"/>
    <w:rsid w:val="28375E51"/>
    <w:rsid w:val="2B935195"/>
    <w:rsid w:val="31B5313F"/>
    <w:rsid w:val="374757D4"/>
    <w:rsid w:val="3AD7091B"/>
    <w:rsid w:val="3C0A5C4E"/>
    <w:rsid w:val="41C415DF"/>
    <w:rsid w:val="46A915FC"/>
    <w:rsid w:val="4ACD0A41"/>
    <w:rsid w:val="4C42245F"/>
    <w:rsid w:val="4D086AFA"/>
    <w:rsid w:val="53FB15E8"/>
    <w:rsid w:val="55480368"/>
    <w:rsid w:val="580A0164"/>
    <w:rsid w:val="592A4A08"/>
    <w:rsid w:val="5949427D"/>
    <w:rsid w:val="59886781"/>
    <w:rsid w:val="59E529BF"/>
    <w:rsid w:val="5C163756"/>
    <w:rsid w:val="5F563847"/>
    <w:rsid w:val="63421633"/>
    <w:rsid w:val="692D5565"/>
    <w:rsid w:val="6A1D21C2"/>
    <w:rsid w:val="6C172E9A"/>
    <w:rsid w:val="6F69270C"/>
    <w:rsid w:val="71E72E8F"/>
    <w:rsid w:val="786A0DA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1"/>
    <w:qFormat/>
    <w:uiPriority w:val="0"/>
    <w:rPr>
      <w:rFonts w:ascii="Calibri"/>
      <w:sz w:val="21"/>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next w:val="3"/>
    <w:qFormat/>
    <w:uiPriority w:val="0"/>
    <w:pPr>
      <w:ind w:firstLine="630"/>
    </w:pPr>
    <w:rPr>
      <w:sz w:val="32"/>
    </w:rPr>
  </w:style>
  <w:style w:type="paragraph" w:styleId="6">
    <w:name w:val="Body Text 3"/>
    <w:basedOn w:val="1"/>
    <w:qFormat/>
    <w:uiPriority w:val="99"/>
    <w:pPr>
      <w:spacing w:line="500" w:lineRule="exact"/>
    </w:pPr>
    <w:rPr>
      <w:b/>
      <w:bCs/>
      <w:sz w:val="24"/>
      <w:szCs w:val="24"/>
    </w:rPr>
  </w:style>
  <w:style w:type="paragraph" w:styleId="7">
    <w:name w:val="Body Text"/>
    <w:basedOn w:val="1"/>
    <w:link w:val="17"/>
    <w:qFormat/>
    <w:uiPriority w:val="0"/>
    <w:pPr>
      <w:spacing w:after="120"/>
    </w:pPr>
    <w:rPr>
      <w:rFonts w:ascii="等线" w:hAnsi="等线" w:eastAsia="Times New Roman" w:cs="Times New Roman"/>
      <w:sz w:val="21"/>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7"/>
    <w:link w:val="15"/>
    <w:qFormat/>
    <w:uiPriority w:val="0"/>
    <w:pPr>
      <w:tabs>
        <w:tab w:val="center" w:pos="4153"/>
        <w:tab w:val="right" w:pos="8306"/>
      </w:tabs>
      <w:snapToGrid w:val="0"/>
      <w:jc w:val="center"/>
    </w:pPr>
    <w:rPr>
      <w:sz w:val="18"/>
      <w:szCs w:val="18"/>
    </w:rPr>
  </w:style>
  <w:style w:type="paragraph" w:styleId="11">
    <w:name w:val="Body Text First Indent"/>
    <w:basedOn w:val="7"/>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7"/>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List Paragraph1"/>
    <w:basedOn w:val="1"/>
    <w:qFormat/>
    <w:uiPriority w:val="0"/>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1305</Words>
  <Characters>1363</Characters>
  <Lines>18</Lines>
  <Paragraphs>5</Paragraphs>
  <TotalTime>0</TotalTime>
  <ScaleCrop>false</ScaleCrop>
  <LinksUpToDate>false</LinksUpToDate>
  <CharactersWithSpaces>1363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(・᷄ᵌ・᷅)</cp:lastModifiedBy>
  <dcterms:modified xsi:type="dcterms:W3CDTF">2024-11-20T07:49:55Z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10CC5B7249F845C0ADC3E4783AF7AABF_13</vt:lpwstr>
  </property>
</Properties>
</file>