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0E0F8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240" w:lineRule="auto"/>
        <w:jc w:val="both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kern w:val="44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44"/>
          <w:sz w:val="30"/>
          <w:szCs w:val="30"/>
          <w:highlight w:val="none"/>
          <w:lang w:val="en-US" w:eastAsia="zh-CN" w:bidi="ar-SA"/>
        </w:rPr>
        <w:t>附件</w:t>
      </w:r>
    </w:p>
    <w:p w14:paraId="7CF0D554">
      <w:pPr>
        <w:keepNext/>
        <w:keepLines/>
        <w:widowControl w:val="0"/>
        <w:numPr>
          <w:ilvl w:val="0"/>
          <w:numId w:val="0"/>
        </w:numPr>
        <w:bidi w:val="0"/>
        <w:spacing w:before="340" w:beforeLines="0" w:beforeAutospacing="0" w:after="330" w:afterLines="0" w:afterAutospacing="0" w:line="576" w:lineRule="auto"/>
        <w:jc w:val="center"/>
        <w:outlineLvl w:val="0"/>
        <w:rPr>
          <w:rFonts w:hint="default" w:ascii="方正小标宋_GBK" w:hAnsi="方正小标宋_GBK" w:eastAsia="方正小标宋_GBK" w:cs="方正小标宋_GBK"/>
          <w:b w:val="0"/>
          <w:bCs/>
          <w:kern w:val="44"/>
          <w:sz w:val="44"/>
          <w:szCs w:val="36"/>
          <w:highlight w:val="none"/>
          <w:lang w:val="en-US" w:eastAsia="zh-CN" w:bidi="ar-SA"/>
        </w:rPr>
      </w:pPr>
      <w:bookmarkStart w:id="0" w:name="_Toc481"/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36"/>
          <w:highlight w:val="none"/>
          <w:lang w:val="en-US" w:eastAsia="zh-CN" w:bidi="ar-SA"/>
        </w:rPr>
        <w:t>项目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36"/>
          <w:highlight w:val="none"/>
          <w:lang w:val="en-US" w:eastAsia="zh-CN" w:bidi="ar-SA"/>
        </w:rPr>
        <w:t>采购需求</w:t>
      </w:r>
    </w:p>
    <w:p w14:paraId="15F9B3F4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一、比选项目内容</w:t>
      </w:r>
    </w:p>
    <w:p w14:paraId="72483B0D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本次采购共2个包，总预算13.68万元/年，一采三年，包1采购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2条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传输线路（内网光纤）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租赁服务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由2家中标人提供服务；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包2采购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1条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外网光纤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租赁服务，由1家中标人提供服务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。</w:t>
      </w:r>
    </w:p>
    <w:tbl>
      <w:tblPr>
        <w:tblStyle w:val="4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4588"/>
        <w:gridCol w:w="1935"/>
        <w:gridCol w:w="1641"/>
      </w:tblGrid>
      <w:tr w14:paraId="52BC3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90" w:type="dxa"/>
            <w:vAlign w:val="center"/>
          </w:tcPr>
          <w:p w14:paraId="159AF60F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包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  <w:t>号</w:t>
            </w:r>
          </w:p>
        </w:tc>
        <w:tc>
          <w:tcPr>
            <w:tcW w:w="4588" w:type="dxa"/>
            <w:vAlign w:val="center"/>
          </w:tcPr>
          <w:p w14:paraId="31540950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  <w:t>采购内容</w:t>
            </w:r>
          </w:p>
        </w:tc>
        <w:tc>
          <w:tcPr>
            <w:tcW w:w="1935" w:type="dxa"/>
            <w:vAlign w:val="center"/>
          </w:tcPr>
          <w:p w14:paraId="56E23479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highlight w:val="none"/>
                <w:shd w:val="clear" w:color="auto" w:fill="FFFFFF"/>
              </w:rPr>
              <w:t>预算金额</w:t>
            </w:r>
          </w:p>
          <w:p w14:paraId="56DA4B6F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highlight w:val="none"/>
                <w:shd w:val="clear" w:color="auto" w:fill="FFFFFF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highlight w:val="none"/>
                <w:shd w:val="clear" w:color="auto" w:fill="FFFFFF"/>
              </w:rPr>
              <w:t>元/年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/条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highlight w:val="none"/>
                <w:shd w:val="clear" w:color="auto" w:fill="FFFFFF"/>
              </w:rPr>
              <w:t>）</w:t>
            </w:r>
          </w:p>
        </w:tc>
        <w:tc>
          <w:tcPr>
            <w:tcW w:w="1641" w:type="dxa"/>
            <w:vAlign w:val="center"/>
          </w:tcPr>
          <w:p w14:paraId="0AD5BCE3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总预算</w:t>
            </w:r>
          </w:p>
          <w:p w14:paraId="3507D480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（万元/年）</w:t>
            </w:r>
          </w:p>
        </w:tc>
      </w:tr>
      <w:tr w14:paraId="5A68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0" w:type="dxa"/>
            <w:vAlign w:val="center"/>
          </w:tcPr>
          <w:p w14:paraId="165E02DF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88" w:type="dxa"/>
            <w:vAlign w:val="center"/>
          </w:tcPr>
          <w:p w14:paraId="6C2FB071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2条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  <w:t>传输线路（内网光纤）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租赁服务</w:t>
            </w:r>
          </w:p>
        </w:tc>
        <w:tc>
          <w:tcPr>
            <w:tcW w:w="1935" w:type="dxa"/>
            <w:vAlign w:val="center"/>
          </w:tcPr>
          <w:p w14:paraId="1D037C9E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6.48</w:t>
            </w:r>
          </w:p>
        </w:tc>
        <w:tc>
          <w:tcPr>
            <w:tcW w:w="1641" w:type="dxa"/>
            <w:vMerge w:val="restart"/>
            <w:vAlign w:val="center"/>
          </w:tcPr>
          <w:p w14:paraId="173BBE67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13.68</w:t>
            </w:r>
          </w:p>
        </w:tc>
      </w:tr>
      <w:tr w14:paraId="43CA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0" w:type="dxa"/>
            <w:vAlign w:val="center"/>
          </w:tcPr>
          <w:p w14:paraId="14CC7A24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588" w:type="dxa"/>
            <w:vAlign w:val="center"/>
          </w:tcPr>
          <w:p w14:paraId="37240D2E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1条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  <w:t>外网光纤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租赁服务</w:t>
            </w:r>
          </w:p>
        </w:tc>
        <w:tc>
          <w:tcPr>
            <w:tcW w:w="1935" w:type="dxa"/>
            <w:vAlign w:val="center"/>
          </w:tcPr>
          <w:p w14:paraId="34BAEC76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0.72</w:t>
            </w:r>
          </w:p>
        </w:tc>
        <w:tc>
          <w:tcPr>
            <w:tcW w:w="1641" w:type="dxa"/>
            <w:vMerge w:val="continue"/>
            <w:vAlign w:val="center"/>
          </w:tcPr>
          <w:p w14:paraId="63A34749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</w:tbl>
    <w:p w14:paraId="66247510">
      <w:pPr>
        <w:keepNext w:val="0"/>
        <w:keepLines w:val="0"/>
        <w:pageBreakBefore w:val="0"/>
        <w:widowControl w:val="0"/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  <w:t>二</w:t>
      </w:r>
      <w:r>
        <w:rPr>
          <w:rFonts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shd w:val="clear" w:color="auto" w:fill="FFFFFF"/>
          <w:lang w:val="en-US" w:eastAsia="zh-CN"/>
        </w:rPr>
        <w:t>技术、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  <w:t>服务</w:t>
      </w:r>
      <w:r>
        <w:rPr>
          <w:rFonts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  <w:t>要求</w:t>
      </w:r>
    </w:p>
    <w:p w14:paraId="5AB900FB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（一）服务范围：</w:t>
      </w:r>
    </w:p>
    <w:tbl>
      <w:tblPr>
        <w:tblStyle w:val="4"/>
        <w:tblpPr w:leftFromText="180" w:rightFromText="180" w:vertAnchor="text" w:horzAnchor="page" w:tblpX="1506" w:tblpY="165"/>
        <w:tblOverlap w:val="never"/>
        <w:tblW w:w="532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21"/>
        <w:gridCol w:w="971"/>
        <w:gridCol w:w="785"/>
        <w:gridCol w:w="1119"/>
        <w:gridCol w:w="4108"/>
      </w:tblGrid>
      <w:tr w14:paraId="25B45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6ECEB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包号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DFD64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光纤线路类别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9C5EB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8F8D4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单位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01C302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中标人数量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300CB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技术要求</w:t>
            </w:r>
          </w:p>
        </w:tc>
      </w:tr>
      <w:tr w14:paraId="48EE6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8E4C1">
            <w:pPr>
              <w:shd w:val="clear" w:color="auto" w:fill="FFFFFF"/>
              <w:tabs>
                <w:tab w:val="left" w:pos="720"/>
                <w:tab w:val="left" w:pos="90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220B2">
            <w:pPr>
              <w:shd w:val="clear" w:color="auto" w:fill="FFFFFF"/>
              <w:tabs>
                <w:tab w:val="left" w:pos="720"/>
                <w:tab w:val="left" w:pos="90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  <w:t>传输线路（内网光纤）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F632F">
            <w:pPr>
              <w:shd w:val="clear" w:color="auto" w:fill="FFFFFF"/>
              <w:tabs>
                <w:tab w:val="left" w:pos="720"/>
                <w:tab w:val="left" w:pos="90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87373">
            <w:pPr>
              <w:shd w:val="clear" w:color="auto" w:fill="FFFFFF"/>
              <w:tabs>
                <w:tab w:val="left" w:pos="720"/>
                <w:tab w:val="left" w:pos="90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  <w:t>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5569EB">
            <w:pPr>
              <w:shd w:val="clear" w:color="auto" w:fill="FFFFFF"/>
              <w:tabs>
                <w:tab w:val="left" w:pos="720"/>
                <w:tab w:val="left" w:pos="90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7BCDA">
            <w:pPr>
              <w:shd w:val="clear" w:color="auto" w:fill="FFFFFF"/>
              <w:tabs>
                <w:tab w:val="left" w:pos="720"/>
                <w:tab w:val="left" w:pos="900"/>
              </w:tabs>
              <w:adjustRightInd w:val="0"/>
              <w:snapToGrid w:val="0"/>
              <w:spacing w:line="5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  <w:t>1.本地传输线路，高新门诊部与高新南区院区间内部互联双线，一主线一备线，带宽均为100M。</w:t>
            </w:r>
          </w:p>
          <w:p w14:paraId="1C050DB0">
            <w:pPr>
              <w:shd w:val="clear" w:color="auto" w:fill="FFFFFF"/>
              <w:tabs>
                <w:tab w:val="left" w:pos="720"/>
                <w:tab w:val="left" w:pos="900"/>
              </w:tabs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  <w:t>2.主线和备线需为两家不同的运行商线路。</w:t>
            </w:r>
          </w:p>
        </w:tc>
      </w:tr>
      <w:tr w14:paraId="3DD1D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2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CFB96">
            <w:pPr>
              <w:shd w:val="clear" w:color="auto" w:fill="FFFFFF"/>
              <w:tabs>
                <w:tab w:val="left" w:pos="720"/>
                <w:tab w:val="left" w:pos="90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  <w:t>外网</w:t>
            </w:r>
          </w:p>
          <w:p w14:paraId="202D4F23">
            <w:pPr>
              <w:shd w:val="clear" w:color="auto" w:fill="FFFFFF"/>
              <w:tabs>
                <w:tab w:val="left" w:pos="720"/>
                <w:tab w:val="left" w:pos="90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  <w:t>光纤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2FC2C">
            <w:pPr>
              <w:shd w:val="clear" w:color="auto" w:fill="FFFFFF"/>
              <w:tabs>
                <w:tab w:val="left" w:pos="720"/>
                <w:tab w:val="left" w:pos="90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ECADC">
            <w:pPr>
              <w:shd w:val="clear" w:color="auto" w:fill="FFFFFF"/>
              <w:tabs>
                <w:tab w:val="left" w:pos="720"/>
                <w:tab w:val="left" w:pos="90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  <w:t>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BDBC08">
            <w:pPr>
              <w:shd w:val="clear" w:color="auto" w:fill="FFFFFF"/>
              <w:tabs>
                <w:tab w:val="left" w:pos="720"/>
                <w:tab w:val="left" w:pos="90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16DD">
            <w:pPr>
              <w:shd w:val="clear" w:color="auto" w:fill="FFFFFF"/>
              <w:tabs>
                <w:tab w:val="left" w:pos="720"/>
                <w:tab w:val="left" w:pos="900"/>
              </w:tabs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  <w:t>高新门诊部外部互联网</w:t>
            </w:r>
            <w:bookmarkStart w:id="1" w:name="_GoBack"/>
            <w:bookmarkEnd w:id="1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  <w:t>通信光纤，带宽500M。</w:t>
            </w:r>
          </w:p>
        </w:tc>
      </w:tr>
    </w:tbl>
    <w:p w14:paraId="3FBA48DC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成都市中西医结合医院高新门诊部位于成都市高新区中和三街，北邻中和二街，南邻中和三街，东临安和路，西临康和路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该门诊部同医院高新南区院区执行一体化管理，需租用光纤线路。</w:t>
      </w:r>
    </w:p>
    <w:p w14:paraId="517E97F8">
      <w:pPr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服务标准</w:t>
      </w:r>
    </w:p>
    <w:p w14:paraId="2B3FE93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1.响应时间：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现有网络服务中途中断时长不得超过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小时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</w:t>
      </w:r>
    </w:p>
    <w:p w14:paraId="20AA92D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2.建设原则和依据：根据高新门诊部的功能规划,信息化建设以“一核心，多院区”的原则进行实施,依托医院南区信息系统基础，利用城域互联网技术，实现医院南区与高新门诊部互连。</w:t>
      </w:r>
    </w:p>
    <w:p w14:paraId="090C89F5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（三）安全要求</w:t>
      </w:r>
    </w:p>
    <w:p w14:paraId="6C2B3D24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供应商在作业期间应严格遵守医院的管理制度，工作人员着装规范，根据医院安排时间进行作业。</w:t>
      </w:r>
    </w:p>
    <w:p w14:paraId="5FE456E7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合同履行期间，如进行危险作业，工作人员应具备相应资质并由另一名工作人员进行辅助，如因工作人员操作不规范所引发的一切安全事故、人身损害或财产损失、行政处罚等由供应商承担全部负责，并承担由此引发的一切经济赔偿。</w:t>
      </w:r>
    </w:p>
    <w:p w14:paraId="294CF095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服务方案</w:t>
      </w:r>
    </w:p>
    <w:p w14:paraId="08B075C6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针对医院的特殊工作性质，供应商在响应以上要求的基础上提供一套切实可行的服务方案，包括但不限于售后服务、应急预案、人员安排等内容。</w:t>
      </w:r>
    </w:p>
    <w:p w14:paraId="44218CF8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、商务要求</w:t>
      </w:r>
    </w:p>
    <w:p w14:paraId="1D26180C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1.服务期限：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合同签订生效后5个工作日内完成所有安装调试并投入使用，一采三年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 w14:paraId="421ECF42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2.报价：本项目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13.68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万元/年，一采三年；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报价超过采购预算，其比选申请文件按无效处理。</w:t>
      </w:r>
    </w:p>
    <w:p w14:paraId="01D65639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3.付款方式：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项目验收合格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个工作日内，成交供应商提供完整有效的增值税普通发票及请款申请，达到付款条件起10个工作日内，据实结算支付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合同期第一年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全部费用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合同期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第二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年服务期开始后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10个工作日内，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成交供应商提供完整有效的增值税普通发票及请款申请，达到付款条件起10个工作日内，据实结算支付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合同期第二年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全部费用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合同期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年服务期开始后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10个工作日内，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成交供应商提供完整有效的增值税普通发票及请款申请，达到付款条件起10个工作日内，据实结算支付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合同期第三年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全部费用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。</w:t>
      </w:r>
    </w:p>
    <w:p w14:paraId="5D23B827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4.服务地点：成都市中西医结合医院南区。</w:t>
      </w:r>
    </w:p>
    <w:p w14:paraId="12701C0C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5.验收要求：按照相关法律法规的要求进行履约验收。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B34ED"/>
    <w:multiLevelType w:val="singleLevel"/>
    <w:tmpl w:val="87CB34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ZmUxZjUzMjY2OGYxMTk4N2M4YTc1ZjZhYTc3N2YifQ=="/>
  </w:docVars>
  <w:rsids>
    <w:rsidRoot w:val="00000000"/>
    <w:rsid w:val="05175D89"/>
    <w:rsid w:val="1F4071AD"/>
    <w:rsid w:val="45110459"/>
    <w:rsid w:val="7853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仿宋_GB2312" w:hAnsi="仿宋_GB2312" w:eastAsia="仿宋_GB2312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916</Words>
  <Characters>930</Characters>
  <Lines>0</Lines>
  <Paragraphs>0</Paragraphs>
  <TotalTime>0</TotalTime>
  <ScaleCrop>false</ScaleCrop>
  <LinksUpToDate>false</LinksUpToDate>
  <CharactersWithSpaces>931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2024-10-22T02:21:00Z</dcterms:created>
  <dc:creator>Administrator</dc:creator>
  <cp:lastModifiedBy>国招邓诗依</cp:lastModifiedBy>
  <dcterms:modified xsi:type="dcterms:W3CDTF">2025-05-27T02:38:20Z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4028AC1DA5DA4FB9B6A0A8EC7C1DC9EB_13</vt:lpwstr>
  </property>
  <property fmtid="{D5CDD505-2E9C-101B-9397-08002B2CF9AE}" pid="4" name="KSOTemplateDocerSaveRecord">
    <vt:lpwstr>eyJoZGlkIjoiMWRhMTBhYzU5NmFlY2Q4MDk0YWVmZTU1YWVjYmNmZTkiLCJ1c2VySWQiOiI0Mzg0NTQzMTEifQ==</vt:lpwstr>
  </property>
</Properties>
</file>