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16A1" w14:textId="77777777" w:rsidR="00B92346" w:rsidRPr="00AC5FBA" w:rsidRDefault="00000000">
      <w:pPr>
        <w:jc w:val="center"/>
        <w:rPr>
          <w:rFonts w:ascii="宋体" w:hAnsi="宋体" w:cs="宋体" w:hint="eastAsia"/>
          <w:b/>
          <w:bCs/>
          <w:sz w:val="36"/>
          <w:szCs w:val="36"/>
        </w:rPr>
      </w:pPr>
      <w:r w:rsidRPr="00AC5FBA">
        <w:rPr>
          <w:rFonts w:hint="eastAsia"/>
          <w:b/>
          <w:bCs/>
          <w:sz w:val="36"/>
          <w:szCs w:val="36"/>
        </w:rPr>
        <w:t>成都市中西医结合医院智能车库</w:t>
      </w:r>
      <w:r w:rsidRPr="00AC5FBA">
        <w:rPr>
          <w:rFonts w:ascii="宋体" w:hAnsi="宋体" w:cs="宋体" w:hint="eastAsia"/>
          <w:b/>
          <w:bCs/>
          <w:sz w:val="36"/>
          <w:szCs w:val="36"/>
        </w:rPr>
        <w:t>维修保养</w:t>
      </w:r>
    </w:p>
    <w:p w14:paraId="4CFDF9C0" w14:textId="77777777" w:rsidR="00B92346" w:rsidRPr="00AC5FBA" w:rsidRDefault="00000000">
      <w:pPr>
        <w:jc w:val="center"/>
        <w:rPr>
          <w:rFonts w:ascii="宋体" w:hAnsi="宋体" w:cs="宋体" w:hint="eastAsia"/>
          <w:szCs w:val="24"/>
        </w:rPr>
      </w:pPr>
      <w:r w:rsidRPr="00AC5FBA">
        <w:rPr>
          <w:rFonts w:ascii="宋体" w:hAnsi="宋体" w:cs="宋体" w:hint="eastAsia"/>
          <w:b/>
          <w:bCs/>
          <w:sz w:val="36"/>
          <w:szCs w:val="36"/>
        </w:rPr>
        <w:t>服务要求</w:t>
      </w:r>
    </w:p>
    <w:p w14:paraId="46631DBB" w14:textId="77777777" w:rsidR="00B92346" w:rsidRPr="00AC5FBA" w:rsidRDefault="00000000">
      <w:pPr>
        <w:pStyle w:val="1"/>
        <w:spacing w:before="156" w:after="156"/>
      </w:pPr>
      <w:r w:rsidRPr="00AC5FBA">
        <w:rPr>
          <w:rFonts w:hint="eastAsia"/>
        </w:rPr>
        <w:t>一、项目概况</w:t>
      </w:r>
    </w:p>
    <w:p w14:paraId="637866BF" w14:textId="77777777" w:rsidR="00B92346" w:rsidRPr="00AC5FBA" w:rsidRDefault="00000000">
      <w:pPr>
        <w:ind w:firstLineChars="200" w:firstLine="480"/>
      </w:pPr>
      <w:r w:rsidRPr="00AC5FBA">
        <w:rPr>
          <w:rFonts w:hint="eastAsia"/>
        </w:rPr>
        <w:t>成都市中西医结合医院智能车库位于急救中心和感染科大楼地下室，项目智能车库设备信息如下：</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497"/>
        <w:gridCol w:w="2280"/>
        <w:gridCol w:w="2652"/>
      </w:tblGrid>
      <w:tr w:rsidR="00B92346" w:rsidRPr="00AC5FBA" w14:paraId="3A914DD6" w14:textId="77777777">
        <w:trPr>
          <w:trHeight w:val="605"/>
          <w:jc w:val="center"/>
        </w:trPr>
        <w:tc>
          <w:tcPr>
            <w:tcW w:w="1542" w:type="dxa"/>
            <w:tcBorders>
              <w:tl2br w:val="nil"/>
              <w:tr2bl w:val="nil"/>
            </w:tcBorders>
            <w:vAlign w:val="center"/>
          </w:tcPr>
          <w:p w14:paraId="1D0AA91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设备型号</w:t>
            </w:r>
          </w:p>
        </w:tc>
        <w:tc>
          <w:tcPr>
            <w:tcW w:w="2497" w:type="dxa"/>
            <w:tcBorders>
              <w:tl2br w:val="nil"/>
              <w:tr2bl w:val="nil"/>
            </w:tcBorders>
            <w:vAlign w:val="center"/>
          </w:tcPr>
          <w:p w14:paraId="3D05D34A"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PPY</w:t>
            </w:r>
          </w:p>
        </w:tc>
        <w:tc>
          <w:tcPr>
            <w:tcW w:w="2280" w:type="dxa"/>
            <w:tcBorders>
              <w:tl2br w:val="nil"/>
              <w:tr2bl w:val="nil"/>
            </w:tcBorders>
            <w:vAlign w:val="center"/>
          </w:tcPr>
          <w:p w14:paraId="238781FF"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停车数量</w:t>
            </w:r>
          </w:p>
        </w:tc>
        <w:tc>
          <w:tcPr>
            <w:tcW w:w="2652" w:type="dxa"/>
            <w:tcBorders>
              <w:tl2br w:val="nil"/>
              <w:tr2bl w:val="nil"/>
            </w:tcBorders>
            <w:vAlign w:val="center"/>
          </w:tcPr>
          <w:p w14:paraId="2092CB6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631车位</w:t>
            </w:r>
          </w:p>
        </w:tc>
      </w:tr>
      <w:tr w:rsidR="00B92346" w:rsidRPr="00AC5FBA" w14:paraId="6A357C7B" w14:textId="77777777">
        <w:trPr>
          <w:cantSplit/>
          <w:trHeight w:val="605"/>
          <w:jc w:val="center"/>
        </w:trPr>
        <w:tc>
          <w:tcPr>
            <w:tcW w:w="1542" w:type="dxa"/>
            <w:tcBorders>
              <w:tl2br w:val="nil"/>
              <w:tr2bl w:val="nil"/>
            </w:tcBorders>
            <w:vAlign w:val="center"/>
          </w:tcPr>
          <w:p w14:paraId="7363DF6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停车规格</w:t>
            </w:r>
          </w:p>
        </w:tc>
        <w:tc>
          <w:tcPr>
            <w:tcW w:w="7429" w:type="dxa"/>
            <w:gridSpan w:val="3"/>
            <w:tcBorders>
              <w:tl2br w:val="nil"/>
              <w:tr2bl w:val="nil"/>
            </w:tcBorders>
            <w:vAlign w:val="center"/>
          </w:tcPr>
          <w:p w14:paraId="597EA2B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车长</w:t>
            </w:r>
            <w:r w:rsidRPr="00AC5FBA">
              <w:rPr>
                <w:rFonts w:ascii="宋体" w:hAnsi="宋体" w:cs="宋体" w:hint="eastAsia"/>
                <w:color w:val="181A28"/>
                <w:spacing w:val="-3"/>
                <w:szCs w:val="24"/>
              </w:rPr>
              <w:t>5300×</w:t>
            </w:r>
            <w:r w:rsidRPr="00AC5FBA">
              <w:rPr>
                <w:rFonts w:ascii="宋体" w:hAnsi="宋体" w:cs="宋体" w:hint="eastAsia"/>
                <w:szCs w:val="24"/>
              </w:rPr>
              <w:t>宽</w:t>
            </w:r>
            <w:r w:rsidRPr="00AC5FBA">
              <w:rPr>
                <w:rFonts w:ascii="宋体" w:hAnsi="宋体" w:cs="宋体" w:hint="eastAsia"/>
                <w:color w:val="181A28"/>
                <w:spacing w:val="-3"/>
                <w:szCs w:val="24"/>
              </w:rPr>
              <w:t>1900×</w:t>
            </w:r>
            <w:r w:rsidRPr="00AC5FBA">
              <w:rPr>
                <w:rFonts w:ascii="宋体" w:hAnsi="宋体" w:cs="宋体" w:hint="eastAsia"/>
                <w:szCs w:val="24"/>
              </w:rPr>
              <w:t>高</w:t>
            </w:r>
            <w:r w:rsidRPr="00AC5FBA">
              <w:rPr>
                <w:rFonts w:ascii="宋体" w:hAnsi="宋体" w:cs="宋体" w:hint="eastAsia"/>
                <w:color w:val="181A28"/>
                <w:spacing w:val="-3"/>
                <w:szCs w:val="24"/>
              </w:rPr>
              <w:t>1700/2050 mm</w:t>
            </w:r>
            <w:r w:rsidRPr="00AC5FBA">
              <w:rPr>
                <w:rFonts w:ascii="宋体" w:hAnsi="宋体" w:cs="宋体" w:hint="eastAsia"/>
                <w:szCs w:val="24"/>
              </w:rPr>
              <w:t>，车重≤</w:t>
            </w:r>
            <w:r w:rsidRPr="00AC5FBA">
              <w:rPr>
                <w:rFonts w:ascii="宋体" w:hAnsi="宋体" w:cs="宋体" w:hint="eastAsia"/>
                <w:color w:val="181A28"/>
                <w:spacing w:val="-3"/>
                <w:szCs w:val="24"/>
              </w:rPr>
              <w:t>2500kg</w:t>
            </w:r>
          </w:p>
        </w:tc>
      </w:tr>
      <w:tr w:rsidR="00B92346" w:rsidRPr="00AC5FBA" w14:paraId="595E4F95" w14:textId="77777777">
        <w:trPr>
          <w:trHeight w:val="605"/>
          <w:jc w:val="center"/>
        </w:trPr>
        <w:tc>
          <w:tcPr>
            <w:tcW w:w="1542" w:type="dxa"/>
            <w:tcBorders>
              <w:tl2br w:val="nil"/>
              <w:tr2bl w:val="nil"/>
            </w:tcBorders>
            <w:vAlign w:val="center"/>
          </w:tcPr>
          <w:p w14:paraId="20F55C6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停车方式</w:t>
            </w:r>
          </w:p>
        </w:tc>
        <w:tc>
          <w:tcPr>
            <w:tcW w:w="2497" w:type="dxa"/>
            <w:tcBorders>
              <w:tl2br w:val="nil"/>
              <w:tr2bl w:val="nil"/>
            </w:tcBorders>
            <w:vAlign w:val="center"/>
          </w:tcPr>
          <w:p w14:paraId="7FE63CC5"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前进入库、前进出库</w:t>
            </w:r>
          </w:p>
        </w:tc>
        <w:tc>
          <w:tcPr>
            <w:tcW w:w="2280" w:type="dxa"/>
            <w:tcBorders>
              <w:tl2br w:val="nil"/>
              <w:tr2bl w:val="nil"/>
            </w:tcBorders>
            <w:vAlign w:val="center"/>
          </w:tcPr>
          <w:p w14:paraId="3EB6469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操作方式</w:t>
            </w:r>
          </w:p>
        </w:tc>
        <w:tc>
          <w:tcPr>
            <w:tcW w:w="2652" w:type="dxa"/>
            <w:tcBorders>
              <w:tl2br w:val="nil"/>
              <w:tr2bl w:val="nil"/>
            </w:tcBorders>
            <w:vAlign w:val="center"/>
          </w:tcPr>
          <w:p w14:paraId="71BF77A8" w14:textId="77777777" w:rsidR="00B92346" w:rsidRPr="00AC5FBA" w:rsidRDefault="00000000">
            <w:pPr>
              <w:jc w:val="center"/>
              <w:rPr>
                <w:rFonts w:ascii="宋体" w:hAnsi="宋体" w:cs="宋体" w:hint="eastAsia"/>
                <w:szCs w:val="24"/>
              </w:rPr>
            </w:pPr>
            <w:r w:rsidRPr="00AC5FBA">
              <w:rPr>
                <w:rFonts w:ascii="宋体" w:hAnsi="宋体" w:cs="宋体" w:hint="eastAsia"/>
                <w:color w:val="181A28"/>
                <w:spacing w:val="-3"/>
                <w:szCs w:val="24"/>
              </w:rPr>
              <w:t>刷卡/</w:t>
            </w:r>
            <w:proofErr w:type="gramStart"/>
            <w:r w:rsidRPr="00AC5FBA">
              <w:rPr>
                <w:rFonts w:ascii="宋体" w:hAnsi="宋体" w:cs="宋体" w:hint="eastAsia"/>
                <w:color w:val="181A28"/>
                <w:spacing w:val="-3"/>
                <w:szCs w:val="24"/>
              </w:rPr>
              <w:t>二维码</w:t>
            </w:r>
            <w:proofErr w:type="gramEnd"/>
          </w:p>
        </w:tc>
      </w:tr>
      <w:tr w:rsidR="00B92346" w:rsidRPr="00AC5FBA" w14:paraId="04EF16F2" w14:textId="77777777">
        <w:trPr>
          <w:trHeight w:val="605"/>
          <w:jc w:val="center"/>
        </w:trPr>
        <w:tc>
          <w:tcPr>
            <w:tcW w:w="1542" w:type="dxa"/>
            <w:tcBorders>
              <w:tl2br w:val="nil"/>
              <w:tr2bl w:val="nil"/>
            </w:tcBorders>
            <w:vAlign w:val="center"/>
          </w:tcPr>
          <w:p w14:paraId="121FE22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框架结构</w:t>
            </w:r>
          </w:p>
        </w:tc>
        <w:tc>
          <w:tcPr>
            <w:tcW w:w="2497" w:type="dxa"/>
            <w:tcBorders>
              <w:tl2br w:val="nil"/>
              <w:tr2bl w:val="nil"/>
            </w:tcBorders>
            <w:vAlign w:val="center"/>
          </w:tcPr>
          <w:p w14:paraId="6C3459B2"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钢结构</w:t>
            </w:r>
          </w:p>
        </w:tc>
        <w:tc>
          <w:tcPr>
            <w:tcW w:w="2280" w:type="dxa"/>
            <w:tcBorders>
              <w:tl2br w:val="nil"/>
              <w:tr2bl w:val="nil"/>
            </w:tcBorders>
            <w:vAlign w:val="center"/>
          </w:tcPr>
          <w:p w14:paraId="2F61E5D8"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电  源</w:t>
            </w:r>
          </w:p>
        </w:tc>
        <w:tc>
          <w:tcPr>
            <w:tcW w:w="2652" w:type="dxa"/>
            <w:tcBorders>
              <w:tl2br w:val="nil"/>
              <w:tr2bl w:val="nil"/>
            </w:tcBorders>
            <w:vAlign w:val="center"/>
          </w:tcPr>
          <w:p w14:paraId="59BB63C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三相交流380V  50HZ</w:t>
            </w:r>
          </w:p>
        </w:tc>
      </w:tr>
      <w:tr w:rsidR="00B92346" w:rsidRPr="00AC5FBA" w14:paraId="4ABBF588" w14:textId="77777777">
        <w:trPr>
          <w:trHeight w:val="605"/>
          <w:jc w:val="center"/>
        </w:trPr>
        <w:tc>
          <w:tcPr>
            <w:tcW w:w="1542" w:type="dxa"/>
            <w:tcBorders>
              <w:tl2br w:val="nil"/>
              <w:tr2bl w:val="nil"/>
            </w:tcBorders>
            <w:vAlign w:val="center"/>
          </w:tcPr>
          <w:p w14:paraId="634FF2FE"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升降方式</w:t>
            </w:r>
          </w:p>
        </w:tc>
        <w:tc>
          <w:tcPr>
            <w:tcW w:w="2497" w:type="dxa"/>
            <w:tcBorders>
              <w:tl2br w:val="nil"/>
              <w:tr2bl w:val="nil"/>
            </w:tcBorders>
            <w:vAlign w:val="center"/>
          </w:tcPr>
          <w:p w14:paraId="0D29D32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链条</w:t>
            </w:r>
          </w:p>
        </w:tc>
        <w:tc>
          <w:tcPr>
            <w:tcW w:w="2280" w:type="dxa"/>
            <w:tcBorders>
              <w:tl2br w:val="nil"/>
              <w:tr2bl w:val="nil"/>
            </w:tcBorders>
            <w:vAlign w:val="center"/>
          </w:tcPr>
          <w:p w14:paraId="1895CFE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控制系统</w:t>
            </w:r>
          </w:p>
        </w:tc>
        <w:tc>
          <w:tcPr>
            <w:tcW w:w="2652" w:type="dxa"/>
            <w:tcBorders>
              <w:tl2br w:val="nil"/>
              <w:tr2bl w:val="nil"/>
            </w:tcBorders>
            <w:vAlign w:val="center"/>
          </w:tcPr>
          <w:p w14:paraId="46552011"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PLC程序控制器</w:t>
            </w:r>
          </w:p>
        </w:tc>
      </w:tr>
      <w:tr w:rsidR="00B92346" w:rsidRPr="00AC5FBA" w14:paraId="04AEF74C" w14:textId="77777777">
        <w:trPr>
          <w:trHeight w:val="749"/>
          <w:jc w:val="center"/>
        </w:trPr>
        <w:tc>
          <w:tcPr>
            <w:tcW w:w="1542" w:type="dxa"/>
            <w:tcBorders>
              <w:tl2br w:val="nil"/>
              <w:tr2bl w:val="nil"/>
            </w:tcBorders>
            <w:vAlign w:val="center"/>
          </w:tcPr>
          <w:p w14:paraId="27C7359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旋转型式</w:t>
            </w:r>
          </w:p>
        </w:tc>
        <w:tc>
          <w:tcPr>
            <w:tcW w:w="2497" w:type="dxa"/>
            <w:tcBorders>
              <w:tl2br w:val="nil"/>
              <w:tr2bl w:val="nil"/>
            </w:tcBorders>
            <w:vAlign w:val="center"/>
          </w:tcPr>
          <w:p w14:paraId="205F3A12" w14:textId="77777777" w:rsidR="00B92346" w:rsidRPr="00AC5FBA" w:rsidRDefault="00000000">
            <w:pPr>
              <w:jc w:val="center"/>
              <w:rPr>
                <w:rFonts w:ascii="宋体" w:hAnsi="宋体" w:cs="宋体" w:hint="eastAsia"/>
                <w:szCs w:val="24"/>
                <w:vertAlign w:val="superscript"/>
              </w:rPr>
            </w:pPr>
            <w:r w:rsidRPr="00AC5FBA">
              <w:rPr>
                <w:rFonts w:ascii="宋体" w:hAnsi="宋体" w:cs="宋体" w:hint="eastAsia"/>
                <w:szCs w:val="24"/>
              </w:rPr>
              <w:t>台车旋转</w:t>
            </w:r>
          </w:p>
        </w:tc>
        <w:tc>
          <w:tcPr>
            <w:tcW w:w="2280" w:type="dxa"/>
            <w:tcBorders>
              <w:tl2br w:val="nil"/>
              <w:tr2bl w:val="nil"/>
            </w:tcBorders>
            <w:vAlign w:val="center"/>
          </w:tcPr>
          <w:p w14:paraId="00438D1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驱动方式</w:t>
            </w:r>
          </w:p>
        </w:tc>
        <w:tc>
          <w:tcPr>
            <w:tcW w:w="2652" w:type="dxa"/>
            <w:tcBorders>
              <w:tl2br w:val="nil"/>
              <w:tr2bl w:val="nil"/>
            </w:tcBorders>
            <w:vAlign w:val="center"/>
          </w:tcPr>
          <w:p w14:paraId="3A87BEC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电机+链条</w:t>
            </w:r>
          </w:p>
        </w:tc>
      </w:tr>
      <w:tr w:rsidR="00B92346" w:rsidRPr="00AC5FBA" w14:paraId="34589820" w14:textId="77777777">
        <w:trPr>
          <w:trHeight w:val="605"/>
          <w:jc w:val="center"/>
        </w:trPr>
        <w:tc>
          <w:tcPr>
            <w:tcW w:w="1542" w:type="dxa"/>
            <w:tcBorders>
              <w:tl2br w:val="nil"/>
              <w:tr2bl w:val="nil"/>
            </w:tcBorders>
            <w:vAlign w:val="center"/>
          </w:tcPr>
          <w:p w14:paraId="4751CB0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层数</w:t>
            </w:r>
          </w:p>
        </w:tc>
        <w:tc>
          <w:tcPr>
            <w:tcW w:w="2497" w:type="dxa"/>
            <w:tcBorders>
              <w:tl2br w:val="nil"/>
              <w:tr2bl w:val="nil"/>
            </w:tcBorders>
            <w:vAlign w:val="center"/>
          </w:tcPr>
          <w:p w14:paraId="27E733D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5层</w:t>
            </w:r>
          </w:p>
        </w:tc>
        <w:tc>
          <w:tcPr>
            <w:tcW w:w="2280" w:type="dxa"/>
            <w:tcBorders>
              <w:tl2br w:val="nil"/>
              <w:tr2bl w:val="nil"/>
            </w:tcBorders>
            <w:vAlign w:val="center"/>
          </w:tcPr>
          <w:p w14:paraId="6BBBDC6C"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首次检验合格日期</w:t>
            </w:r>
          </w:p>
        </w:tc>
        <w:tc>
          <w:tcPr>
            <w:tcW w:w="2652" w:type="dxa"/>
            <w:tcBorders>
              <w:tl2br w:val="nil"/>
              <w:tr2bl w:val="nil"/>
            </w:tcBorders>
            <w:vAlign w:val="center"/>
          </w:tcPr>
          <w:p w14:paraId="210412F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2023年09月</w:t>
            </w:r>
          </w:p>
        </w:tc>
      </w:tr>
    </w:tbl>
    <w:p w14:paraId="45D0C9E8" w14:textId="77777777" w:rsidR="00B92346" w:rsidRPr="00AC5FBA" w:rsidRDefault="00B92346">
      <w:pPr>
        <w:rPr>
          <w:rFonts w:ascii="宋体" w:hAnsi="宋体" w:cs="宋体" w:hint="eastAsia"/>
          <w:szCs w:val="24"/>
        </w:rPr>
      </w:pPr>
    </w:p>
    <w:p w14:paraId="75DEB1A7" w14:textId="77777777" w:rsidR="00B92346" w:rsidRPr="00AC5FBA" w:rsidRDefault="00000000">
      <w:pPr>
        <w:jc w:val="center"/>
        <w:rPr>
          <w:rFonts w:ascii="宋体" w:hAnsi="宋体" w:cs="宋体" w:hint="eastAsia"/>
          <w:b/>
          <w:bCs/>
          <w:sz w:val="28"/>
          <w:szCs w:val="28"/>
        </w:rPr>
      </w:pPr>
      <w:r w:rsidRPr="00AC5FBA">
        <w:rPr>
          <w:rFonts w:ascii="宋体" w:hAnsi="宋体" w:cs="宋体" w:hint="eastAsia"/>
          <w:b/>
          <w:bCs/>
          <w:sz w:val="28"/>
          <w:szCs w:val="28"/>
        </w:rPr>
        <w:t>维修保养服务设备清单</w:t>
      </w:r>
    </w:p>
    <w:tbl>
      <w:tblPr>
        <w:tblStyle w:val="a5"/>
        <w:tblW w:w="0" w:type="auto"/>
        <w:tblLook w:val="04A0" w:firstRow="1" w:lastRow="0" w:firstColumn="1" w:lastColumn="0" w:noHBand="0" w:noVBand="1"/>
      </w:tblPr>
      <w:tblGrid>
        <w:gridCol w:w="799"/>
        <w:gridCol w:w="1925"/>
        <w:gridCol w:w="3127"/>
        <w:gridCol w:w="920"/>
        <w:gridCol w:w="906"/>
        <w:gridCol w:w="1316"/>
      </w:tblGrid>
      <w:tr w:rsidR="00B92346" w:rsidRPr="00AC5FBA" w14:paraId="0518D62F" w14:textId="77777777">
        <w:tc>
          <w:tcPr>
            <w:tcW w:w="799" w:type="dxa"/>
            <w:vAlign w:val="center"/>
          </w:tcPr>
          <w:p w14:paraId="7B5254D7"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序号</w:t>
            </w:r>
          </w:p>
        </w:tc>
        <w:tc>
          <w:tcPr>
            <w:tcW w:w="1925" w:type="dxa"/>
            <w:vAlign w:val="center"/>
          </w:tcPr>
          <w:p w14:paraId="208DC201"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分项</w:t>
            </w:r>
          </w:p>
        </w:tc>
        <w:tc>
          <w:tcPr>
            <w:tcW w:w="3127" w:type="dxa"/>
            <w:vAlign w:val="center"/>
          </w:tcPr>
          <w:p w14:paraId="79586A9D"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参数说明</w:t>
            </w:r>
          </w:p>
        </w:tc>
        <w:tc>
          <w:tcPr>
            <w:tcW w:w="920" w:type="dxa"/>
            <w:vAlign w:val="center"/>
          </w:tcPr>
          <w:p w14:paraId="4FFF0976"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单位</w:t>
            </w:r>
          </w:p>
        </w:tc>
        <w:tc>
          <w:tcPr>
            <w:tcW w:w="906" w:type="dxa"/>
            <w:vAlign w:val="center"/>
          </w:tcPr>
          <w:p w14:paraId="061ADA99"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数量</w:t>
            </w:r>
          </w:p>
        </w:tc>
        <w:tc>
          <w:tcPr>
            <w:tcW w:w="1316" w:type="dxa"/>
            <w:vAlign w:val="center"/>
          </w:tcPr>
          <w:p w14:paraId="4F40D42E" w14:textId="77777777" w:rsidR="00B92346" w:rsidRPr="00AC5FBA" w:rsidRDefault="00000000">
            <w:pPr>
              <w:jc w:val="center"/>
              <w:rPr>
                <w:rFonts w:ascii="宋体" w:hAnsi="宋体" w:cs="宋体" w:hint="eastAsia"/>
                <w:b/>
                <w:bCs/>
                <w:szCs w:val="24"/>
              </w:rPr>
            </w:pPr>
            <w:r w:rsidRPr="00AC5FBA">
              <w:rPr>
                <w:rFonts w:ascii="宋体" w:hAnsi="宋体" w:cs="宋体" w:hint="eastAsia"/>
                <w:b/>
                <w:bCs/>
                <w:szCs w:val="24"/>
              </w:rPr>
              <w:t>备注</w:t>
            </w:r>
          </w:p>
        </w:tc>
      </w:tr>
      <w:tr w:rsidR="00B92346" w:rsidRPr="00AC5FBA" w14:paraId="168C9FD4" w14:textId="77777777">
        <w:tc>
          <w:tcPr>
            <w:tcW w:w="799" w:type="dxa"/>
            <w:vAlign w:val="center"/>
          </w:tcPr>
          <w:p w14:paraId="24DD8B0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1</w:t>
            </w:r>
          </w:p>
        </w:tc>
        <w:tc>
          <w:tcPr>
            <w:tcW w:w="1925" w:type="dxa"/>
            <w:vAlign w:val="center"/>
          </w:tcPr>
          <w:p w14:paraId="622AC5EF"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车位系统</w:t>
            </w:r>
          </w:p>
        </w:tc>
        <w:tc>
          <w:tcPr>
            <w:tcW w:w="3127" w:type="dxa"/>
            <w:vAlign w:val="center"/>
          </w:tcPr>
          <w:p w14:paraId="1DF8457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平面移动类机械式停车设备（型号代码：PPY）</w:t>
            </w:r>
          </w:p>
        </w:tc>
        <w:tc>
          <w:tcPr>
            <w:tcW w:w="920" w:type="dxa"/>
            <w:vAlign w:val="center"/>
          </w:tcPr>
          <w:p w14:paraId="588E497D"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车位</w:t>
            </w:r>
          </w:p>
        </w:tc>
        <w:tc>
          <w:tcPr>
            <w:tcW w:w="906" w:type="dxa"/>
            <w:vAlign w:val="center"/>
          </w:tcPr>
          <w:p w14:paraId="65A61706"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631</w:t>
            </w:r>
          </w:p>
        </w:tc>
        <w:tc>
          <w:tcPr>
            <w:tcW w:w="1316" w:type="dxa"/>
            <w:vAlign w:val="center"/>
          </w:tcPr>
          <w:p w14:paraId="2FCE407C"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数量不含调泊车位</w:t>
            </w:r>
          </w:p>
        </w:tc>
      </w:tr>
      <w:tr w:rsidR="00B92346" w:rsidRPr="00AC5FBA" w14:paraId="7AA3CD7B" w14:textId="77777777">
        <w:tc>
          <w:tcPr>
            <w:tcW w:w="799" w:type="dxa"/>
            <w:vAlign w:val="center"/>
          </w:tcPr>
          <w:p w14:paraId="2BDC4622"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2</w:t>
            </w:r>
          </w:p>
        </w:tc>
        <w:tc>
          <w:tcPr>
            <w:tcW w:w="1925" w:type="dxa"/>
            <w:vAlign w:val="center"/>
          </w:tcPr>
          <w:p w14:paraId="3C7B5015"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车库控制系统</w:t>
            </w:r>
          </w:p>
        </w:tc>
        <w:tc>
          <w:tcPr>
            <w:tcW w:w="3127" w:type="dxa"/>
            <w:vAlign w:val="center"/>
          </w:tcPr>
          <w:p w14:paraId="61BC0547"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PLC程序控制</w:t>
            </w:r>
          </w:p>
        </w:tc>
        <w:tc>
          <w:tcPr>
            <w:tcW w:w="920" w:type="dxa"/>
            <w:vAlign w:val="center"/>
          </w:tcPr>
          <w:p w14:paraId="052351DC"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套</w:t>
            </w:r>
          </w:p>
        </w:tc>
        <w:tc>
          <w:tcPr>
            <w:tcW w:w="906" w:type="dxa"/>
            <w:vAlign w:val="center"/>
          </w:tcPr>
          <w:p w14:paraId="370808F7"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7</w:t>
            </w:r>
          </w:p>
        </w:tc>
        <w:tc>
          <w:tcPr>
            <w:tcW w:w="1316" w:type="dxa"/>
            <w:vAlign w:val="center"/>
          </w:tcPr>
          <w:p w14:paraId="4A4CAD5E" w14:textId="77777777" w:rsidR="00B92346" w:rsidRPr="00AC5FBA" w:rsidRDefault="00B92346">
            <w:pPr>
              <w:jc w:val="center"/>
              <w:rPr>
                <w:rFonts w:ascii="宋体" w:hAnsi="宋体" w:cs="宋体" w:hint="eastAsia"/>
                <w:szCs w:val="24"/>
              </w:rPr>
            </w:pPr>
          </w:p>
        </w:tc>
      </w:tr>
      <w:tr w:rsidR="00B92346" w:rsidRPr="00AC5FBA" w14:paraId="038C75AA" w14:textId="77777777">
        <w:tc>
          <w:tcPr>
            <w:tcW w:w="799" w:type="dxa"/>
            <w:vAlign w:val="center"/>
          </w:tcPr>
          <w:p w14:paraId="790EDBD2"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3</w:t>
            </w:r>
          </w:p>
        </w:tc>
        <w:tc>
          <w:tcPr>
            <w:tcW w:w="1925" w:type="dxa"/>
            <w:vAlign w:val="center"/>
          </w:tcPr>
          <w:p w14:paraId="4A13F61C"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升降机系统</w:t>
            </w:r>
          </w:p>
        </w:tc>
        <w:tc>
          <w:tcPr>
            <w:tcW w:w="3127" w:type="dxa"/>
            <w:vAlign w:val="center"/>
          </w:tcPr>
          <w:p w14:paraId="7AD55C85"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主驱动升降电机功率 22kw（三合一减速电机）</w:t>
            </w:r>
          </w:p>
        </w:tc>
        <w:tc>
          <w:tcPr>
            <w:tcW w:w="920" w:type="dxa"/>
            <w:vAlign w:val="center"/>
          </w:tcPr>
          <w:p w14:paraId="664B5E0A"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套</w:t>
            </w:r>
          </w:p>
        </w:tc>
        <w:tc>
          <w:tcPr>
            <w:tcW w:w="906" w:type="dxa"/>
            <w:vAlign w:val="center"/>
          </w:tcPr>
          <w:p w14:paraId="74638C0F"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14</w:t>
            </w:r>
          </w:p>
        </w:tc>
        <w:tc>
          <w:tcPr>
            <w:tcW w:w="1316" w:type="dxa"/>
            <w:vAlign w:val="center"/>
          </w:tcPr>
          <w:p w14:paraId="2A0100E7" w14:textId="77777777" w:rsidR="00B92346" w:rsidRPr="00AC5FBA" w:rsidRDefault="00B92346">
            <w:pPr>
              <w:jc w:val="center"/>
              <w:rPr>
                <w:rFonts w:ascii="宋体" w:hAnsi="宋体" w:cs="宋体" w:hint="eastAsia"/>
                <w:szCs w:val="24"/>
              </w:rPr>
            </w:pPr>
          </w:p>
        </w:tc>
      </w:tr>
      <w:tr w:rsidR="00B92346" w:rsidRPr="00AC5FBA" w14:paraId="3AB3F479" w14:textId="77777777">
        <w:tc>
          <w:tcPr>
            <w:tcW w:w="799" w:type="dxa"/>
            <w:vAlign w:val="center"/>
          </w:tcPr>
          <w:p w14:paraId="3E8AA2C5"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4</w:t>
            </w:r>
          </w:p>
        </w:tc>
        <w:tc>
          <w:tcPr>
            <w:tcW w:w="1925" w:type="dxa"/>
            <w:vAlign w:val="center"/>
          </w:tcPr>
          <w:p w14:paraId="67933941"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出入口检测系统</w:t>
            </w:r>
          </w:p>
        </w:tc>
        <w:tc>
          <w:tcPr>
            <w:tcW w:w="3127" w:type="dxa"/>
            <w:vAlign w:val="center"/>
          </w:tcPr>
          <w:p w14:paraId="16085CB7"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包括车高、车宽、车长、车重（超载限制器）、汽车底盘高度等全套安全检测装置</w:t>
            </w:r>
          </w:p>
        </w:tc>
        <w:tc>
          <w:tcPr>
            <w:tcW w:w="920" w:type="dxa"/>
            <w:vAlign w:val="center"/>
          </w:tcPr>
          <w:p w14:paraId="59D993BF"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套</w:t>
            </w:r>
          </w:p>
        </w:tc>
        <w:tc>
          <w:tcPr>
            <w:tcW w:w="906" w:type="dxa"/>
            <w:vAlign w:val="center"/>
          </w:tcPr>
          <w:p w14:paraId="0B05FA3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14</w:t>
            </w:r>
          </w:p>
        </w:tc>
        <w:tc>
          <w:tcPr>
            <w:tcW w:w="1316" w:type="dxa"/>
            <w:vAlign w:val="center"/>
          </w:tcPr>
          <w:p w14:paraId="7F5D55DD" w14:textId="77777777" w:rsidR="00B92346" w:rsidRPr="00AC5FBA" w:rsidRDefault="00B92346">
            <w:pPr>
              <w:jc w:val="center"/>
              <w:rPr>
                <w:rFonts w:ascii="宋体" w:hAnsi="宋体" w:cs="宋体" w:hint="eastAsia"/>
                <w:szCs w:val="24"/>
              </w:rPr>
            </w:pPr>
          </w:p>
        </w:tc>
      </w:tr>
      <w:tr w:rsidR="00B92346" w:rsidRPr="00AC5FBA" w14:paraId="600B69F6" w14:textId="77777777">
        <w:tc>
          <w:tcPr>
            <w:tcW w:w="799" w:type="dxa"/>
            <w:vAlign w:val="center"/>
          </w:tcPr>
          <w:p w14:paraId="24B6A318"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5</w:t>
            </w:r>
          </w:p>
        </w:tc>
        <w:tc>
          <w:tcPr>
            <w:tcW w:w="1925" w:type="dxa"/>
            <w:vAlign w:val="center"/>
          </w:tcPr>
          <w:p w14:paraId="0D9BA118"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出入口停车引导系统</w:t>
            </w:r>
          </w:p>
        </w:tc>
        <w:tc>
          <w:tcPr>
            <w:tcW w:w="3127" w:type="dxa"/>
            <w:vAlign w:val="center"/>
          </w:tcPr>
          <w:p w14:paraId="267FD33D"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包括出入口上方LED显示屏、库内0K引导屏、语音提</w:t>
            </w:r>
            <w:r w:rsidRPr="00AC5FBA">
              <w:rPr>
                <w:rFonts w:ascii="宋体" w:hAnsi="宋体" w:cs="宋体" w:hint="eastAsia"/>
                <w:szCs w:val="24"/>
              </w:rPr>
              <w:lastRenderedPageBreak/>
              <w:t>示系统</w:t>
            </w:r>
          </w:p>
        </w:tc>
        <w:tc>
          <w:tcPr>
            <w:tcW w:w="920" w:type="dxa"/>
            <w:vAlign w:val="center"/>
          </w:tcPr>
          <w:p w14:paraId="10D78382"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lastRenderedPageBreak/>
              <w:t>套</w:t>
            </w:r>
          </w:p>
        </w:tc>
        <w:tc>
          <w:tcPr>
            <w:tcW w:w="906" w:type="dxa"/>
            <w:vAlign w:val="center"/>
          </w:tcPr>
          <w:p w14:paraId="36DCDC7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14</w:t>
            </w:r>
          </w:p>
        </w:tc>
        <w:tc>
          <w:tcPr>
            <w:tcW w:w="1316" w:type="dxa"/>
            <w:vAlign w:val="center"/>
          </w:tcPr>
          <w:p w14:paraId="520334BF" w14:textId="77777777" w:rsidR="00B92346" w:rsidRPr="00AC5FBA" w:rsidRDefault="00B92346">
            <w:pPr>
              <w:jc w:val="center"/>
              <w:rPr>
                <w:rFonts w:ascii="宋体" w:hAnsi="宋体" w:cs="宋体" w:hint="eastAsia"/>
                <w:szCs w:val="24"/>
              </w:rPr>
            </w:pPr>
          </w:p>
        </w:tc>
      </w:tr>
      <w:tr w:rsidR="00B92346" w:rsidRPr="00AC5FBA" w14:paraId="7C0C8E16" w14:textId="77777777">
        <w:tc>
          <w:tcPr>
            <w:tcW w:w="799" w:type="dxa"/>
            <w:vAlign w:val="center"/>
          </w:tcPr>
          <w:p w14:paraId="30ECF5C2"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6</w:t>
            </w:r>
          </w:p>
        </w:tc>
        <w:tc>
          <w:tcPr>
            <w:tcW w:w="1925" w:type="dxa"/>
            <w:vAlign w:val="center"/>
          </w:tcPr>
          <w:p w14:paraId="0D9CE2D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横移台车系统</w:t>
            </w:r>
          </w:p>
        </w:tc>
        <w:tc>
          <w:tcPr>
            <w:tcW w:w="3127" w:type="dxa"/>
            <w:vAlign w:val="center"/>
          </w:tcPr>
          <w:p w14:paraId="56B6A034"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带旋转式横移台车，确保智能车库前进入库、前进出库</w:t>
            </w:r>
          </w:p>
        </w:tc>
        <w:tc>
          <w:tcPr>
            <w:tcW w:w="920" w:type="dxa"/>
            <w:vAlign w:val="center"/>
          </w:tcPr>
          <w:p w14:paraId="372CC5C8"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套</w:t>
            </w:r>
          </w:p>
        </w:tc>
        <w:tc>
          <w:tcPr>
            <w:tcW w:w="906" w:type="dxa"/>
            <w:vAlign w:val="center"/>
          </w:tcPr>
          <w:p w14:paraId="4BAC49CB"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35</w:t>
            </w:r>
          </w:p>
        </w:tc>
        <w:tc>
          <w:tcPr>
            <w:tcW w:w="1316" w:type="dxa"/>
            <w:vAlign w:val="center"/>
          </w:tcPr>
          <w:p w14:paraId="2B97DD2B" w14:textId="77777777" w:rsidR="00B92346" w:rsidRPr="00AC5FBA" w:rsidRDefault="00B92346">
            <w:pPr>
              <w:jc w:val="center"/>
              <w:rPr>
                <w:rFonts w:ascii="宋体" w:hAnsi="宋体" w:cs="宋体" w:hint="eastAsia"/>
                <w:szCs w:val="24"/>
              </w:rPr>
            </w:pPr>
          </w:p>
        </w:tc>
      </w:tr>
      <w:tr w:rsidR="00B92346" w:rsidRPr="00AC5FBA" w14:paraId="65FA9D87" w14:textId="77777777">
        <w:tc>
          <w:tcPr>
            <w:tcW w:w="799" w:type="dxa"/>
            <w:vAlign w:val="center"/>
          </w:tcPr>
          <w:p w14:paraId="08B3EF89"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7</w:t>
            </w:r>
          </w:p>
        </w:tc>
        <w:tc>
          <w:tcPr>
            <w:tcW w:w="1925" w:type="dxa"/>
            <w:vAlign w:val="center"/>
          </w:tcPr>
          <w:p w14:paraId="79F912E3"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汽车</w:t>
            </w:r>
            <w:proofErr w:type="gramStart"/>
            <w:r w:rsidRPr="00AC5FBA">
              <w:rPr>
                <w:rFonts w:ascii="宋体" w:hAnsi="宋体" w:cs="宋体" w:hint="eastAsia"/>
                <w:szCs w:val="24"/>
              </w:rPr>
              <w:t>搬运器</w:t>
            </w:r>
            <w:proofErr w:type="gramEnd"/>
          </w:p>
        </w:tc>
        <w:tc>
          <w:tcPr>
            <w:tcW w:w="3127" w:type="dxa"/>
            <w:vAlign w:val="center"/>
          </w:tcPr>
          <w:p w14:paraId="6356908A" w14:textId="77777777" w:rsidR="00B92346" w:rsidRPr="00AC5FBA" w:rsidRDefault="00000000">
            <w:pPr>
              <w:jc w:val="center"/>
              <w:rPr>
                <w:rFonts w:ascii="宋体" w:hAnsi="宋体" w:cs="宋体" w:hint="eastAsia"/>
                <w:szCs w:val="24"/>
              </w:rPr>
            </w:pPr>
            <w:proofErr w:type="gramStart"/>
            <w:r w:rsidRPr="00AC5FBA">
              <w:rPr>
                <w:rFonts w:ascii="宋体" w:hAnsi="宋体" w:cs="宋体" w:hint="eastAsia"/>
                <w:szCs w:val="24"/>
              </w:rPr>
              <w:t>抱夹式</w:t>
            </w:r>
            <w:proofErr w:type="gramEnd"/>
            <w:r w:rsidRPr="00AC5FBA">
              <w:rPr>
                <w:rFonts w:ascii="宋体" w:hAnsi="宋体" w:cs="宋体" w:hint="eastAsia"/>
                <w:szCs w:val="24"/>
              </w:rPr>
              <w:t>机械手</w:t>
            </w:r>
            <w:proofErr w:type="gramStart"/>
            <w:r w:rsidRPr="00AC5FBA">
              <w:rPr>
                <w:rFonts w:ascii="宋体" w:hAnsi="宋体" w:cs="宋体" w:hint="eastAsia"/>
                <w:szCs w:val="24"/>
              </w:rPr>
              <w:t>搬运器</w:t>
            </w:r>
            <w:proofErr w:type="gramEnd"/>
          </w:p>
        </w:tc>
        <w:tc>
          <w:tcPr>
            <w:tcW w:w="920" w:type="dxa"/>
            <w:vAlign w:val="center"/>
          </w:tcPr>
          <w:p w14:paraId="0AF3E490"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套</w:t>
            </w:r>
          </w:p>
        </w:tc>
        <w:tc>
          <w:tcPr>
            <w:tcW w:w="906" w:type="dxa"/>
            <w:vAlign w:val="center"/>
          </w:tcPr>
          <w:p w14:paraId="49942767" w14:textId="77777777" w:rsidR="00B92346" w:rsidRPr="00AC5FBA" w:rsidRDefault="00000000">
            <w:pPr>
              <w:jc w:val="center"/>
              <w:rPr>
                <w:rFonts w:ascii="宋体" w:hAnsi="宋体" w:cs="宋体" w:hint="eastAsia"/>
                <w:szCs w:val="24"/>
              </w:rPr>
            </w:pPr>
            <w:r w:rsidRPr="00AC5FBA">
              <w:rPr>
                <w:rFonts w:ascii="宋体" w:hAnsi="宋体" w:cs="宋体" w:hint="eastAsia"/>
                <w:szCs w:val="24"/>
              </w:rPr>
              <w:t>35</w:t>
            </w:r>
          </w:p>
        </w:tc>
        <w:tc>
          <w:tcPr>
            <w:tcW w:w="1316" w:type="dxa"/>
            <w:vAlign w:val="center"/>
          </w:tcPr>
          <w:p w14:paraId="53B87202" w14:textId="77777777" w:rsidR="00B92346" w:rsidRPr="00AC5FBA" w:rsidRDefault="00B92346">
            <w:pPr>
              <w:jc w:val="center"/>
              <w:rPr>
                <w:rFonts w:ascii="宋体" w:hAnsi="宋体" w:cs="宋体" w:hint="eastAsia"/>
                <w:szCs w:val="24"/>
              </w:rPr>
            </w:pPr>
          </w:p>
        </w:tc>
      </w:tr>
    </w:tbl>
    <w:p w14:paraId="5A7A25F9" w14:textId="77777777" w:rsidR="00B92346" w:rsidRPr="00AC5FBA" w:rsidRDefault="00B92346">
      <w:pPr>
        <w:rPr>
          <w:rFonts w:ascii="宋体" w:hAnsi="宋体" w:cs="宋体" w:hint="eastAsia"/>
          <w:szCs w:val="24"/>
        </w:rPr>
      </w:pPr>
    </w:p>
    <w:p w14:paraId="1B0FAACF" w14:textId="77777777" w:rsidR="00B92346" w:rsidRPr="00AC5FBA" w:rsidRDefault="00000000">
      <w:pPr>
        <w:pStyle w:val="1"/>
        <w:spacing w:before="156" w:after="156"/>
      </w:pPr>
      <w:r w:rsidRPr="00AC5FBA">
        <w:rPr>
          <w:rFonts w:hint="eastAsia"/>
        </w:rPr>
        <w:t>二、维修保养服务要求</w:t>
      </w:r>
    </w:p>
    <w:p w14:paraId="43188983" w14:textId="77777777" w:rsidR="00B92346" w:rsidRPr="00AC5FBA" w:rsidRDefault="00000000">
      <w:pPr>
        <w:ind w:firstLineChars="200" w:firstLine="480"/>
      </w:pPr>
      <w:r w:rsidRPr="00AC5FBA">
        <w:rPr>
          <w:rFonts w:hint="eastAsia"/>
        </w:rPr>
        <w:t>1</w:t>
      </w:r>
      <w:r w:rsidRPr="00AC5FBA">
        <w:rPr>
          <w:rFonts w:hint="eastAsia"/>
        </w:rPr>
        <w:t>、维修保养单位对停车设备的主要机械部件、电气系统、控制程序进行日常维修保养，不能对现有停车设备主要机械部件、电气系统、控制程序进行更改，以免设备发生故障或安全事故时，产生不必要的纠纷。</w:t>
      </w:r>
    </w:p>
    <w:p w14:paraId="1F6036EA"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2、本次采用全包模式，即维修保养单位承担以下服务及相应费用：服务包括智能车库的操作人员培训、设备维修保养、检修、针对性修理、有关技术咨询；维修过程中所发生的辅料、低价值易耗品、停车设备自然磨损或损坏的零部件、标准件更换及修理、停车设备保险等费用。</w:t>
      </w:r>
    </w:p>
    <w:p w14:paraId="49277E0F"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3、驻点保养人员每日巡查。</w:t>
      </w:r>
    </w:p>
    <w:p w14:paraId="0B1BD121"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现场指派不少于2名具有相关专业的技术人员驻点现场，提供24小时驻点服务，以确保服务的专业和安全，并负责智能车库的各项维修保养、急修等工作。</w:t>
      </w:r>
    </w:p>
    <w:p w14:paraId="4532A3FF"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4、驻点保养人员必须定期检查智能车库各连接螺钉是否紧固，提升钢丝绳或链条松紧程度是否一致，必须检查每个挂钩开关动作状态是否正常，各行程开关位置是否准确，清理橫移轨道上的杂物。若有问题，必须及时处理。</w:t>
      </w:r>
    </w:p>
    <w:p w14:paraId="42CA52A4"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5、各按钮、开关是否灵活，动作是否准确。</w:t>
      </w:r>
    </w:p>
    <w:p w14:paraId="66D131B8"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6、</w:t>
      </w:r>
      <w:proofErr w:type="gramStart"/>
      <w:r w:rsidRPr="00AC5FBA">
        <w:rPr>
          <w:rFonts w:ascii="宋体" w:hAnsi="宋体" w:cs="宋体" w:hint="eastAsia"/>
          <w:szCs w:val="24"/>
        </w:rPr>
        <w:t>维保服务</w:t>
      </w:r>
      <w:proofErr w:type="gramEnd"/>
      <w:r w:rsidRPr="00AC5FBA">
        <w:rPr>
          <w:rFonts w:ascii="宋体" w:hAnsi="宋体" w:cs="宋体" w:hint="eastAsia"/>
          <w:szCs w:val="24"/>
        </w:rPr>
        <w:t>驻点人员及时排除智能车库设备出现的各类故障，保证智能车库处于正常安全运行状态。如因过失或技术原因导致安全事故，</w:t>
      </w:r>
      <w:proofErr w:type="gramStart"/>
      <w:r w:rsidRPr="00AC5FBA">
        <w:rPr>
          <w:rFonts w:ascii="宋体" w:hAnsi="宋体" w:cs="宋体" w:hint="eastAsia"/>
          <w:szCs w:val="24"/>
        </w:rPr>
        <w:t>维保公司</w:t>
      </w:r>
      <w:proofErr w:type="gramEnd"/>
      <w:r w:rsidRPr="00AC5FBA">
        <w:rPr>
          <w:rFonts w:ascii="宋体" w:hAnsi="宋体" w:cs="宋体" w:hint="eastAsia"/>
          <w:szCs w:val="24"/>
        </w:rPr>
        <w:t>需承担连带责任及赔偿。</w:t>
      </w:r>
    </w:p>
    <w:p w14:paraId="026D5F60"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7、</w:t>
      </w:r>
      <w:proofErr w:type="gramStart"/>
      <w:r w:rsidRPr="00AC5FBA">
        <w:rPr>
          <w:rFonts w:ascii="宋体" w:hAnsi="宋体" w:cs="宋体" w:hint="eastAsia"/>
          <w:szCs w:val="24"/>
        </w:rPr>
        <w:t>维保公司维保</w:t>
      </w:r>
      <w:proofErr w:type="gramEnd"/>
      <w:r w:rsidRPr="00AC5FBA">
        <w:rPr>
          <w:rFonts w:ascii="宋体" w:hAnsi="宋体" w:cs="宋体" w:hint="eastAsia"/>
          <w:szCs w:val="24"/>
        </w:rPr>
        <w:t>技术人员在</w:t>
      </w:r>
      <w:proofErr w:type="gramStart"/>
      <w:r w:rsidRPr="00AC5FBA">
        <w:rPr>
          <w:rFonts w:ascii="宋体" w:hAnsi="宋体" w:cs="宋体" w:hint="eastAsia"/>
          <w:szCs w:val="24"/>
        </w:rPr>
        <w:t>执行维保服务</w:t>
      </w:r>
      <w:proofErr w:type="gramEnd"/>
      <w:r w:rsidRPr="00AC5FBA">
        <w:rPr>
          <w:rFonts w:ascii="宋体" w:hAnsi="宋体" w:cs="宋体" w:hint="eastAsia"/>
          <w:szCs w:val="24"/>
        </w:rPr>
        <w:t>过程中应保障施工安全，承担所有安全责任。</w:t>
      </w:r>
      <w:proofErr w:type="gramStart"/>
      <w:r w:rsidRPr="00AC5FBA">
        <w:rPr>
          <w:rFonts w:ascii="宋体" w:hAnsi="宋体" w:cs="宋体" w:hint="eastAsia"/>
          <w:szCs w:val="24"/>
        </w:rPr>
        <w:t>由于维保服务</w:t>
      </w:r>
      <w:proofErr w:type="gramEnd"/>
      <w:r w:rsidRPr="00AC5FBA">
        <w:rPr>
          <w:rFonts w:ascii="宋体" w:hAnsi="宋体" w:cs="宋体" w:hint="eastAsia"/>
          <w:szCs w:val="24"/>
        </w:rPr>
        <w:t>人员在维修或保养时的过失而造成人身伤害或财产损害等损失，其责任</w:t>
      </w:r>
      <w:proofErr w:type="gramStart"/>
      <w:r w:rsidRPr="00AC5FBA">
        <w:rPr>
          <w:rFonts w:ascii="宋体" w:hAnsi="宋体" w:cs="宋体" w:hint="eastAsia"/>
          <w:szCs w:val="24"/>
        </w:rPr>
        <w:t>由维保公司</w:t>
      </w:r>
      <w:proofErr w:type="gramEnd"/>
      <w:r w:rsidRPr="00AC5FBA">
        <w:rPr>
          <w:rFonts w:ascii="宋体" w:hAnsi="宋体" w:cs="宋体" w:hint="eastAsia"/>
          <w:szCs w:val="24"/>
        </w:rPr>
        <w:t>承担。</w:t>
      </w:r>
    </w:p>
    <w:p w14:paraId="38F09F32"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8、智能车库出现一般故障时，驻点维保人员应立即到达现场（不可抗力除外），一般故障在30分钟内修复完成，重大故障在24小时内修复完成（因故障维修需要清库或其他不可抗力导致维修时间超标的除外）。</w:t>
      </w:r>
    </w:p>
    <w:p w14:paraId="02181949"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lastRenderedPageBreak/>
        <w:t>9、每月对智能车库进行二次全面检查、调整、润滑、清洁等例行保养，检查所有安全装置，并安排例行安全测试；每三个月进行一次季度保养检查，每年末进行一次年度保养检查。</w:t>
      </w:r>
    </w:p>
    <w:p w14:paraId="718EC103"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10、每年末进行一次年度保养检查，并出具相关检查报告。</w:t>
      </w:r>
    </w:p>
    <w:p w14:paraId="0C8F727A"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（1）清洗油污，检查其磨损情况，加入新的润滑油脂，根据磨损情况，对磨损严重零件进行更换。</w:t>
      </w:r>
    </w:p>
    <w:p w14:paraId="76276964"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（2）检查电路及控制显老的绝缘情况及个元器件运行情况。</w:t>
      </w:r>
    </w:p>
    <w:p w14:paraId="61030E92"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（3）检查安全防坠落系统是否安全可靠。</w:t>
      </w:r>
    </w:p>
    <w:p w14:paraId="4D52F0F2"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（4）对所有传动机构及链条进行检测与调整。</w:t>
      </w:r>
    </w:p>
    <w:p w14:paraId="01F26210"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（5）检查安全防坠落系统情况，更换损坏元件。</w:t>
      </w:r>
    </w:p>
    <w:p w14:paraId="4AA8B3BD" w14:textId="77777777" w:rsidR="00B92346" w:rsidRPr="00AC5FBA" w:rsidRDefault="00000000">
      <w:pPr>
        <w:pStyle w:val="1"/>
        <w:spacing w:before="156" w:after="156"/>
      </w:pPr>
      <w:r w:rsidRPr="00AC5FBA">
        <w:rPr>
          <w:rFonts w:hint="eastAsia"/>
        </w:rPr>
        <w:t>三、其他要求</w:t>
      </w:r>
    </w:p>
    <w:p w14:paraId="45042EC8"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1、</w:t>
      </w:r>
      <w:proofErr w:type="gramStart"/>
      <w:r w:rsidRPr="00AC5FBA">
        <w:rPr>
          <w:rFonts w:ascii="宋体" w:hAnsi="宋体" w:cs="宋体" w:hint="eastAsia"/>
          <w:szCs w:val="24"/>
        </w:rPr>
        <w:t>维保作业</w:t>
      </w:r>
      <w:proofErr w:type="gramEnd"/>
      <w:r w:rsidRPr="00AC5FBA">
        <w:rPr>
          <w:rFonts w:ascii="宋体" w:hAnsi="宋体" w:cs="宋体" w:hint="eastAsia"/>
          <w:szCs w:val="24"/>
        </w:rPr>
        <w:t>人员必须认真填写各项有关维修维修保养记录，按具体要求以及国家和行业标准对智能车库提供维修保养服务，</w:t>
      </w:r>
      <w:proofErr w:type="gramStart"/>
      <w:r w:rsidRPr="00AC5FBA">
        <w:rPr>
          <w:rFonts w:ascii="宋体" w:hAnsi="宋体" w:cs="宋体" w:hint="eastAsia"/>
          <w:szCs w:val="24"/>
        </w:rPr>
        <w:t>维保记录</w:t>
      </w:r>
      <w:proofErr w:type="gramEnd"/>
      <w:r w:rsidRPr="00AC5FBA">
        <w:rPr>
          <w:rFonts w:ascii="宋体" w:hAnsi="宋体" w:cs="宋体" w:hint="eastAsia"/>
          <w:szCs w:val="24"/>
        </w:rPr>
        <w:t>须经院方人员签字确认，甲乙双方各执一份留档备查。</w:t>
      </w:r>
    </w:p>
    <w:p w14:paraId="4C838652"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2、</w:t>
      </w:r>
      <w:proofErr w:type="gramStart"/>
      <w:r w:rsidRPr="00AC5FBA">
        <w:rPr>
          <w:rFonts w:ascii="宋体" w:hAnsi="宋体" w:cs="宋体" w:hint="eastAsia"/>
          <w:szCs w:val="24"/>
        </w:rPr>
        <w:t>维保公司</w:t>
      </w:r>
      <w:proofErr w:type="gramEnd"/>
      <w:r w:rsidRPr="00AC5FBA">
        <w:rPr>
          <w:rFonts w:ascii="宋体" w:hAnsi="宋体" w:cs="宋体" w:hint="eastAsia"/>
          <w:szCs w:val="24"/>
        </w:rPr>
        <w:t>对其履行合同所雇佣的全部人员的工伤事故造成的损害承担全部责任。</w:t>
      </w:r>
    </w:p>
    <w:p w14:paraId="6CC4E58E"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3、</w:t>
      </w:r>
      <w:proofErr w:type="gramStart"/>
      <w:r w:rsidRPr="00AC5FBA">
        <w:rPr>
          <w:rFonts w:ascii="宋体" w:hAnsi="宋体" w:cs="宋体" w:hint="eastAsia"/>
          <w:szCs w:val="24"/>
        </w:rPr>
        <w:t>维保公司</w:t>
      </w:r>
      <w:proofErr w:type="gramEnd"/>
      <w:r w:rsidRPr="00AC5FBA">
        <w:rPr>
          <w:rFonts w:ascii="宋体" w:hAnsi="宋体" w:cs="宋体" w:hint="eastAsia"/>
          <w:szCs w:val="24"/>
        </w:rPr>
        <w:t>应严格按照国家安全标准制定施工安全操作规程，配备必要的安全生产和劳动保护设施，加强对维修保养人员的安全教育，并发放安全工作手册和劳动保护用具。</w:t>
      </w:r>
    </w:p>
    <w:p w14:paraId="58A77CC2"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4、</w:t>
      </w:r>
      <w:proofErr w:type="gramStart"/>
      <w:r w:rsidRPr="00AC5FBA">
        <w:rPr>
          <w:rFonts w:ascii="宋体" w:hAnsi="宋体" w:cs="宋体" w:hint="eastAsia"/>
          <w:szCs w:val="24"/>
        </w:rPr>
        <w:t>维保公司</w:t>
      </w:r>
      <w:proofErr w:type="gramEnd"/>
      <w:r w:rsidRPr="00AC5FBA">
        <w:rPr>
          <w:rFonts w:ascii="宋体" w:hAnsi="宋体" w:cs="宋体" w:hint="eastAsia"/>
          <w:szCs w:val="24"/>
        </w:rPr>
        <w:t>应在成都市内储存合理数量的智能车库专用备件、易损零配件以保证随时更换、维护及保养。</w:t>
      </w:r>
    </w:p>
    <w:p w14:paraId="2C6A0834"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5、智能车库故障时，维保人员要做好相应的解释工作，态度应诚恳、温和，不得与车主发生任何争吵。因智能车库故障不能及时取车由此产生的车主的交通费、停车费、燃油费等</w:t>
      </w:r>
      <w:proofErr w:type="gramStart"/>
      <w:r w:rsidRPr="00AC5FBA">
        <w:rPr>
          <w:rFonts w:ascii="宋体" w:hAnsi="宋体" w:cs="宋体" w:hint="eastAsia"/>
          <w:szCs w:val="24"/>
        </w:rPr>
        <w:t>由维保公司</w:t>
      </w:r>
      <w:proofErr w:type="gramEnd"/>
      <w:r w:rsidRPr="00AC5FBA">
        <w:rPr>
          <w:rFonts w:ascii="宋体" w:hAnsi="宋体" w:cs="宋体" w:hint="eastAsia"/>
          <w:szCs w:val="24"/>
        </w:rPr>
        <w:t>支付。因智能车库设备故障，造成的车辆损坏，</w:t>
      </w:r>
      <w:proofErr w:type="gramStart"/>
      <w:r w:rsidRPr="00AC5FBA">
        <w:rPr>
          <w:rFonts w:ascii="宋体" w:hAnsi="宋体" w:cs="宋体" w:hint="eastAsia"/>
          <w:szCs w:val="24"/>
        </w:rPr>
        <w:t>由维保公司</w:t>
      </w:r>
      <w:proofErr w:type="gramEnd"/>
      <w:r w:rsidRPr="00AC5FBA">
        <w:rPr>
          <w:rFonts w:ascii="宋体" w:hAnsi="宋体" w:cs="宋体" w:hint="eastAsia"/>
          <w:szCs w:val="24"/>
        </w:rPr>
        <w:t>承担相应的维修费用。</w:t>
      </w:r>
    </w:p>
    <w:p w14:paraId="7AC971AD"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6、采购人负责每2年按照国家有关规定申报智能车库年度检测并办理年检工作，维修保养单位必须全力配合，并做好智能车库维修保养工作，确保年检合格。</w:t>
      </w:r>
    </w:p>
    <w:p w14:paraId="1D1B024B" w14:textId="77777777" w:rsidR="00B92346" w:rsidRPr="00AC5FBA" w:rsidRDefault="00000000">
      <w:pPr>
        <w:ind w:firstLineChars="200" w:firstLine="480"/>
        <w:rPr>
          <w:rFonts w:ascii="宋体" w:hAnsi="宋体" w:cs="宋体" w:hint="eastAsia"/>
          <w:szCs w:val="24"/>
        </w:rPr>
      </w:pPr>
      <w:r w:rsidRPr="00AC5FBA">
        <w:rPr>
          <w:rFonts w:ascii="宋体" w:hAnsi="宋体" w:cs="宋体" w:hint="eastAsia"/>
          <w:szCs w:val="24"/>
        </w:rPr>
        <w:t>7、免费提供软件远程技术服务。</w:t>
      </w:r>
    </w:p>
    <w:p w14:paraId="3033C83F" w14:textId="77777777" w:rsidR="00B92346" w:rsidRPr="00AC5FBA" w:rsidRDefault="00000000">
      <w:pPr>
        <w:pStyle w:val="1"/>
        <w:spacing w:before="156" w:after="156"/>
      </w:pPr>
      <w:r w:rsidRPr="00AC5FBA">
        <w:rPr>
          <w:rFonts w:hint="eastAsia"/>
        </w:rPr>
        <w:lastRenderedPageBreak/>
        <w:t>四、服务报价表</w:t>
      </w:r>
    </w:p>
    <w:tbl>
      <w:tblPr>
        <w:tblStyle w:val="a5"/>
        <w:tblW w:w="0" w:type="auto"/>
        <w:tblLook w:val="04A0" w:firstRow="1" w:lastRow="0" w:firstColumn="1" w:lastColumn="0" w:noHBand="0" w:noVBand="1"/>
      </w:tblPr>
      <w:tblGrid>
        <w:gridCol w:w="900"/>
        <w:gridCol w:w="4498"/>
        <w:gridCol w:w="1033"/>
        <w:gridCol w:w="1189"/>
        <w:gridCol w:w="1464"/>
      </w:tblGrid>
      <w:tr w:rsidR="00B92346" w:rsidRPr="00AC5FBA" w14:paraId="16DFE71F" w14:textId="77777777">
        <w:tc>
          <w:tcPr>
            <w:tcW w:w="900" w:type="dxa"/>
            <w:tcBorders>
              <w:top w:val="single" w:sz="4" w:space="0" w:color="auto"/>
              <w:left w:val="single" w:sz="4" w:space="0" w:color="auto"/>
              <w:bottom w:val="single" w:sz="4" w:space="0" w:color="auto"/>
              <w:right w:val="single" w:sz="4" w:space="0" w:color="auto"/>
            </w:tcBorders>
            <w:vAlign w:val="center"/>
          </w:tcPr>
          <w:p w14:paraId="4D95D9ED"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维保</w:t>
            </w:r>
          </w:p>
          <w:p w14:paraId="08D6260D"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方式</w:t>
            </w:r>
          </w:p>
        </w:tc>
        <w:tc>
          <w:tcPr>
            <w:tcW w:w="4498" w:type="dxa"/>
            <w:tcBorders>
              <w:top w:val="single" w:sz="4" w:space="0" w:color="auto"/>
              <w:left w:val="single" w:sz="4" w:space="0" w:color="auto"/>
              <w:bottom w:val="single" w:sz="4" w:space="0" w:color="auto"/>
              <w:right w:val="single" w:sz="4" w:space="0" w:color="auto"/>
            </w:tcBorders>
            <w:vAlign w:val="center"/>
          </w:tcPr>
          <w:p w14:paraId="1A7E891B"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服务内容</w:t>
            </w:r>
          </w:p>
        </w:tc>
        <w:tc>
          <w:tcPr>
            <w:tcW w:w="1033" w:type="dxa"/>
            <w:tcBorders>
              <w:top w:val="single" w:sz="4" w:space="0" w:color="auto"/>
              <w:left w:val="single" w:sz="4" w:space="0" w:color="auto"/>
              <w:bottom w:val="single" w:sz="4" w:space="0" w:color="auto"/>
              <w:right w:val="single" w:sz="4" w:space="0" w:color="auto"/>
            </w:tcBorders>
            <w:vAlign w:val="center"/>
          </w:tcPr>
          <w:p w14:paraId="035E961F"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车位数</w:t>
            </w:r>
          </w:p>
        </w:tc>
        <w:tc>
          <w:tcPr>
            <w:tcW w:w="1189" w:type="dxa"/>
            <w:tcBorders>
              <w:top w:val="single" w:sz="4" w:space="0" w:color="auto"/>
              <w:left w:val="single" w:sz="4" w:space="0" w:color="auto"/>
              <w:bottom w:val="single" w:sz="4" w:space="0" w:color="auto"/>
              <w:right w:val="single" w:sz="4" w:space="0" w:color="auto"/>
            </w:tcBorders>
            <w:vAlign w:val="center"/>
          </w:tcPr>
          <w:p w14:paraId="5EB1D769"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维保</w:t>
            </w:r>
          </w:p>
          <w:p w14:paraId="67A1C12A"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单价/月</w:t>
            </w:r>
          </w:p>
        </w:tc>
        <w:tc>
          <w:tcPr>
            <w:tcW w:w="1464" w:type="dxa"/>
            <w:tcBorders>
              <w:top w:val="single" w:sz="4" w:space="0" w:color="auto"/>
              <w:left w:val="single" w:sz="4" w:space="0" w:color="auto"/>
              <w:bottom w:val="single" w:sz="4" w:space="0" w:color="auto"/>
              <w:right w:val="single" w:sz="4" w:space="0" w:color="auto"/>
            </w:tcBorders>
            <w:vAlign w:val="center"/>
          </w:tcPr>
          <w:p w14:paraId="437C6949" w14:textId="77777777" w:rsidR="00B92346" w:rsidRPr="00AC5FBA" w:rsidRDefault="00000000">
            <w:pPr>
              <w:spacing w:line="240" w:lineRule="auto"/>
              <w:jc w:val="center"/>
              <w:rPr>
                <w:rFonts w:ascii="宋体" w:hAnsi="宋体" w:cs="宋体" w:hint="eastAsia"/>
                <w:b/>
                <w:bCs/>
                <w:szCs w:val="24"/>
              </w:rPr>
            </w:pPr>
            <w:r w:rsidRPr="00AC5FBA">
              <w:rPr>
                <w:rFonts w:ascii="宋体" w:hAnsi="宋体" w:cs="宋体" w:hint="eastAsia"/>
                <w:b/>
                <w:bCs/>
                <w:kern w:val="0"/>
                <w:szCs w:val="24"/>
              </w:rPr>
              <w:t>年度总价</w:t>
            </w:r>
          </w:p>
        </w:tc>
      </w:tr>
      <w:tr w:rsidR="00B92346" w:rsidRPr="00AC5FBA" w14:paraId="5C929CD7" w14:textId="77777777">
        <w:tc>
          <w:tcPr>
            <w:tcW w:w="900" w:type="dxa"/>
            <w:tcBorders>
              <w:top w:val="single" w:sz="4" w:space="0" w:color="auto"/>
              <w:left w:val="single" w:sz="4" w:space="0" w:color="auto"/>
              <w:bottom w:val="single" w:sz="4" w:space="0" w:color="auto"/>
              <w:right w:val="single" w:sz="4" w:space="0" w:color="auto"/>
            </w:tcBorders>
            <w:vAlign w:val="center"/>
          </w:tcPr>
          <w:p w14:paraId="26B23C52" w14:textId="77777777" w:rsidR="00B92346" w:rsidRPr="00AC5FBA" w:rsidRDefault="00000000">
            <w:pPr>
              <w:jc w:val="center"/>
              <w:rPr>
                <w:rFonts w:ascii="宋体" w:hAnsi="宋体" w:cs="宋体" w:hint="eastAsia"/>
                <w:szCs w:val="24"/>
              </w:rPr>
            </w:pPr>
            <w:r w:rsidRPr="00AC5FBA">
              <w:rPr>
                <w:rFonts w:ascii="宋体" w:hAnsi="宋体" w:cs="宋体" w:hint="eastAsia"/>
                <w:kern w:val="0"/>
                <w:szCs w:val="24"/>
              </w:rPr>
              <w:t>全包</w:t>
            </w:r>
          </w:p>
        </w:tc>
        <w:tc>
          <w:tcPr>
            <w:tcW w:w="4498" w:type="dxa"/>
            <w:tcBorders>
              <w:top w:val="single" w:sz="4" w:space="0" w:color="auto"/>
              <w:left w:val="single" w:sz="4" w:space="0" w:color="auto"/>
              <w:bottom w:val="single" w:sz="4" w:space="0" w:color="auto"/>
              <w:right w:val="single" w:sz="4" w:space="0" w:color="auto"/>
            </w:tcBorders>
          </w:tcPr>
          <w:p w14:paraId="1EC0E823" w14:textId="77777777" w:rsidR="00B92346" w:rsidRPr="00AC5FBA" w:rsidRDefault="00000000">
            <w:pPr>
              <w:numPr>
                <w:ilvl w:val="0"/>
                <w:numId w:val="1"/>
              </w:numPr>
              <w:rPr>
                <w:rFonts w:ascii="宋体" w:hAnsi="宋体" w:cs="宋体" w:hint="eastAsia"/>
                <w:szCs w:val="24"/>
              </w:rPr>
            </w:pPr>
            <w:r w:rsidRPr="00AC5FBA">
              <w:rPr>
                <w:rFonts w:ascii="宋体" w:hAnsi="宋体" w:cs="宋体" w:hint="eastAsia"/>
                <w:kern w:val="0"/>
                <w:szCs w:val="24"/>
              </w:rPr>
              <w:t>区域：</w:t>
            </w:r>
            <w:r w:rsidRPr="00AC5FBA">
              <w:rPr>
                <w:rFonts w:hint="eastAsia"/>
              </w:rPr>
              <w:t>急救中心和感染科大楼</w:t>
            </w:r>
            <w:r w:rsidRPr="00AC5FBA">
              <w:rPr>
                <w:rFonts w:ascii="宋体" w:hAnsi="宋体" w:cs="宋体" w:hint="eastAsia"/>
                <w:kern w:val="0"/>
                <w:szCs w:val="24"/>
              </w:rPr>
              <w:t>智能车库。</w:t>
            </w:r>
          </w:p>
          <w:p w14:paraId="69965217" w14:textId="77777777" w:rsidR="00B92346" w:rsidRPr="00AC5FBA" w:rsidRDefault="00000000">
            <w:pPr>
              <w:numPr>
                <w:ilvl w:val="0"/>
                <w:numId w:val="1"/>
              </w:numPr>
              <w:rPr>
                <w:rFonts w:ascii="宋体" w:hAnsi="宋体" w:cs="宋体" w:hint="eastAsia"/>
                <w:kern w:val="0"/>
                <w:szCs w:val="24"/>
              </w:rPr>
            </w:pPr>
            <w:r w:rsidRPr="00AC5FBA">
              <w:rPr>
                <w:rFonts w:ascii="宋体" w:hAnsi="宋体" w:cs="宋体" w:hint="eastAsia"/>
                <w:kern w:val="0"/>
                <w:szCs w:val="24"/>
              </w:rPr>
              <w:t>服务内容：指派专业技术人员驻点服务，定期负责智能车库各项维修保养、急修等工作。</w:t>
            </w:r>
          </w:p>
          <w:p w14:paraId="46D83238" w14:textId="77777777" w:rsidR="00B92346" w:rsidRPr="00AC5FBA" w:rsidRDefault="00000000">
            <w:pPr>
              <w:numPr>
                <w:ilvl w:val="0"/>
                <w:numId w:val="1"/>
              </w:numPr>
              <w:rPr>
                <w:rFonts w:ascii="宋体" w:hAnsi="宋体" w:cs="宋体" w:hint="eastAsia"/>
                <w:szCs w:val="24"/>
              </w:rPr>
            </w:pPr>
            <w:r w:rsidRPr="00AC5FBA">
              <w:rPr>
                <w:rFonts w:ascii="宋体" w:hAnsi="宋体" w:cs="宋体" w:hint="eastAsia"/>
                <w:kern w:val="0"/>
                <w:szCs w:val="24"/>
              </w:rPr>
              <w:t>包工包料（包含因自然磨损零件免费更换，不包括智能车库主体钢结构、外观油漆、车位结构损坏更换；以及不可抗力及其他责任方原因除外）。</w:t>
            </w:r>
          </w:p>
          <w:p w14:paraId="6F0B5D77" w14:textId="77777777" w:rsidR="00B92346" w:rsidRPr="00AC5FBA" w:rsidRDefault="00000000">
            <w:pPr>
              <w:numPr>
                <w:ilvl w:val="0"/>
                <w:numId w:val="1"/>
              </w:numPr>
              <w:rPr>
                <w:rFonts w:ascii="仿宋" w:eastAsia="仿宋" w:hAnsi="仿宋" w:cs="仿宋" w:hint="eastAsia"/>
                <w:kern w:val="0"/>
                <w:szCs w:val="24"/>
              </w:rPr>
            </w:pPr>
            <w:r w:rsidRPr="00AC5FBA">
              <w:rPr>
                <w:rFonts w:ascii="宋体" w:hAnsi="宋体" w:cs="宋体" w:hint="eastAsia"/>
                <w:kern w:val="0"/>
                <w:szCs w:val="24"/>
              </w:rPr>
              <w:t>包含维修保养更换零部件物料价格、运输（含装卸）、保险、税费、调试、税金、人工费、售后服务等完成本项目所需的一切费用。</w:t>
            </w:r>
          </w:p>
          <w:p w14:paraId="220D973E" w14:textId="77777777" w:rsidR="00B92346" w:rsidRPr="00AC5FBA" w:rsidRDefault="00000000">
            <w:pPr>
              <w:ind w:firstLineChars="200" w:firstLine="480"/>
              <w:rPr>
                <w:rFonts w:ascii="宋体" w:hAnsi="宋体" w:cs="宋体" w:hint="eastAsia"/>
                <w:kern w:val="0"/>
                <w:szCs w:val="24"/>
              </w:rPr>
            </w:pPr>
            <w:r w:rsidRPr="00AC5FBA">
              <w:rPr>
                <w:rFonts w:ascii="宋体" w:hAnsi="宋体" w:cs="宋体" w:hint="eastAsia"/>
                <w:kern w:val="0"/>
                <w:szCs w:val="24"/>
              </w:rPr>
              <w:t>购买停车设备产品责任险，该保险针对于停车设备在使用过程中，停车设备在承保区域范围内发生意外事故，造成使用、消费或操作该产品或商品（停车设备）的人员或其他任何人员的人身伤亡或财产损失（包括入库车辆因设备原因造成损坏），由保险公司按照产品责任险约定负责赔偿。</w:t>
            </w:r>
          </w:p>
        </w:tc>
        <w:tc>
          <w:tcPr>
            <w:tcW w:w="1033" w:type="dxa"/>
            <w:tcBorders>
              <w:top w:val="single" w:sz="4" w:space="0" w:color="auto"/>
              <w:left w:val="single" w:sz="4" w:space="0" w:color="auto"/>
              <w:bottom w:val="single" w:sz="4" w:space="0" w:color="auto"/>
              <w:right w:val="single" w:sz="4" w:space="0" w:color="auto"/>
            </w:tcBorders>
            <w:vAlign w:val="center"/>
          </w:tcPr>
          <w:p w14:paraId="7E6FE67C" w14:textId="77777777" w:rsidR="00B92346" w:rsidRPr="00AC5FBA" w:rsidRDefault="00000000">
            <w:pPr>
              <w:jc w:val="center"/>
              <w:rPr>
                <w:rFonts w:ascii="宋体" w:hAnsi="宋体" w:cs="宋体" w:hint="eastAsia"/>
                <w:szCs w:val="24"/>
              </w:rPr>
            </w:pPr>
            <w:r w:rsidRPr="00AC5FBA">
              <w:rPr>
                <w:rFonts w:ascii="宋体" w:hAnsi="宋体" w:cs="宋体" w:hint="eastAsia"/>
                <w:kern w:val="0"/>
                <w:szCs w:val="24"/>
              </w:rPr>
              <w:t>631</w:t>
            </w:r>
          </w:p>
        </w:tc>
        <w:tc>
          <w:tcPr>
            <w:tcW w:w="1189" w:type="dxa"/>
            <w:tcBorders>
              <w:top w:val="single" w:sz="4" w:space="0" w:color="auto"/>
              <w:left w:val="single" w:sz="4" w:space="0" w:color="auto"/>
              <w:bottom w:val="single" w:sz="4" w:space="0" w:color="auto"/>
              <w:right w:val="single" w:sz="4" w:space="0" w:color="auto"/>
            </w:tcBorders>
          </w:tcPr>
          <w:p w14:paraId="25EA0F65" w14:textId="77777777" w:rsidR="00B92346" w:rsidRPr="00AC5FBA" w:rsidRDefault="00B92346">
            <w:pPr>
              <w:rPr>
                <w:rFonts w:ascii="宋体" w:hAnsi="宋体" w:cs="宋体" w:hint="eastAsia"/>
                <w:szCs w:val="24"/>
              </w:rPr>
            </w:pPr>
          </w:p>
        </w:tc>
        <w:tc>
          <w:tcPr>
            <w:tcW w:w="1464" w:type="dxa"/>
            <w:tcBorders>
              <w:top w:val="single" w:sz="4" w:space="0" w:color="auto"/>
              <w:left w:val="single" w:sz="4" w:space="0" w:color="auto"/>
              <w:bottom w:val="single" w:sz="4" w:space="0" w:color="auto"/>
              <w:right w:val="single" w:sz="4" w:space="0" w:color="auto"/>
            </w:tcBorders>
          </w:tcPr>
          <w:p w14:paraId="1F5D6258" w14:textId="77777777" w:rsidR="00B92346" w:rsidRPr="00AC5FBA" w:rsidRDefault="00B92346">
            <w:pPr>
              <w:rPr>
                <w:rFonts w:ascii="宋体" w:hAnsi="宋体" w:cs="宋体" w:hint="eastAsia"/>
                <w:szCs w:val="24"/>
              </w:rPr>
            </w:pPr>
          </w:p>
        </w:tc>
      </w:tr>
      <w:tr w:rsidR="00B92346" w14:paraId="39E803C9" w14:textId="77777777">
        <w:trPr>
          <w:trHeight w:val="652"/>
        </w:trPr>
        <w:tc>
          <w:tcPr>
            <w:tcW w:w="7620" w:type="dxa"/>
            <w:gridSpan w:val="4"/>
            <w:tcBorders>
              <w:top w:val="single" w:sz="4" w:space="0" w:color="auto"/>
              <w:left w:val="single" w:sz="4" w:space="0" w:color="auto"/>
              <w:bottom w:val="single" w:sz="4" w:space="0" w:color="auto"/>
              <w:right w:val="single" w:sz="4" w:space="0" w:color="auto"/>
            </w:tcBorders>
            <w:vAlign w:val="center"/>
          </w:tcPr>
          <w:p w14:paraId="7F97B9E5" w14:textId="77777777" w:rsidR="00B92346" w:rsidRDefault="00000000">
            <w:pPr>
              <w:jc w:val="center"/>
              <w:rPr>
                <w:rFonts w:ascii="宋体" w:hAnsi="宋体" w:cs="宋体" w:hint="eastAsia"/>
                <w:szCs w:val="24"/>
              </w:rPr>
            </w:pPr>
            <w:r w:rsidRPr="00AC5FBA">
              <w:rPr>
                <w:rFonts w:ascii="宋体" w:hAnsi="宋体" w:cs="宋体" w:hint="eastAsia"/>
                <w:b/>
                <w:bCs/>
                <w:kern w:val="0"/>
                <w:szCs w:val="24"/>
              </w:rPr>
              <w:t>合    计</w:t>
            </w:r>
          </w:p>
        </w:tc>
        <w:tc>
          <w:tcPr>
            <w:tcW w:w="1464" w:type="dxa"/>
            <w:tcBorders>
              <w:top w:val="single" w:sz="4" w:space="0" w:color="auto"/>
              <w:left w:val="single" w:sz="4" w:space="0" w:color="auto"/>
              <w:bottom w:val="single" w:sz="4" w:space="0" w:color="auto"/>
              <w:right w:val="single" w:sz="4" w:space="0" w:color="auto"/>
            </w:tcBorders>
            <w:vAlign w:val="center"/>
          </w:tcPr>
          <w:p w14:paraId="7AC38591" w14:textId="77777777" w:rsidR="00B92346" w:rsidRDefault="00B92346">
            <w:pPr>
              <w:jc w:val="center"/>
              <w:rPr>
                <w:rFonts w:ascii="宋体" w:hAnsi="宋体" w:cs="宋体" w:hint="eastAsia"/>
                <w:szCs w:val="24"/>
              </w:rPr>
            </w:pPr>
          </w:p>
        </w:tc>
      </w:tr>
    </w:tbl>
    <w:p w14:paraId="14E61675" w14:textId="77777777" w:rsidR="00B92346" w:rsidRDefault="00000000">
      <w:pPr>
        <w:rPr>
          <w:rFonts w:ascii="宋体" w:hAnsi="宋体" w:cs="宋体" w:hint="eastAsia"/>
          <w:szCs w:val="24"/>
        </w:rPr>
      </w:pPr>
      <w:r>
        <w:rPr>
          <w:rFonts w:ascii="宋体" w:hAnsi="宋体" w:cs="宋体" w:hint="eastAsia"/>
          <w:szCs w:val="24"/>
        </w:rPr>
        <w:t xml:space="preserve">                          </w:t>
      </w:r>
    </w:p>
    <w:sectPr w:rsidR="00B92346">
      <w:footerReference w:type="default" r:id="rId8"/>
      <w:pgSz w:w="11906" w:h="16838"/>
      <w:pgMar w:top="1327" w:right="1349" w:bottom="1327" w:left="1689"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A36F1" w14:textId="77777777" w:rsidR="00724B49" w:rsidRDefault="00724B49">
      <w:pPr>
        <w:spacing w:line="240" w:lineRule="auto"/>
      </w:pPr>
      <w:r>
        <w:separator/>
      </w:r>
    </w:p>
  </w:endnote>
  <w:endnote w:type="continuationSeparator" w:id="0">
    <w:p w14:paraId="25B77EFB" w14:textId="77777777" w:rsidR="00724B49" w:rsidRDefault="00724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2051" w14:textId="77777777" w:rsidR="00B92346" w:rsidRDefault="00000000">
    <w:pPr>
      <w:pStyle w:val="a3"/>
    </w:pPr>
    <w:r>
      <w:pict w14:anchorId="6D00049D">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34BDFA0A" w14:textId="77777777" w:rsidR="00B92346"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DD5E" w14:textId="77777777" w:rsidR="00724B49" w:rsidRDefault="00724B49">
      <w:r>
        <w:separator/>
      </w:r>
    </w:p>
  </w:footnote>
  <w:footnote w:type="continuationSeparator" w:id="0">
    <w:p w14:paraId="574FB245" w14:textId="77777777" w:rsidR="00724B49" w:rsidRDefault="0072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1BE"/>
    <w:multiLevelType w:val="multilevel"/>
    <w:tmpl w:val="06C271B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19207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09CD"/>
    <w:rsid w:val="000D3507"/>
    <w:rsid w:val="001209CD"/>
    <w:rsid w:val="005D4097"/>
    <w:rsid w:val="00724B49"/>
    <w:rsid w:val="00AC5FBA"/>
    <w:rsid w:val="00B92346"/>
    <w:rsid w:val="00CD5BDC"/>
    <w:rsid w:val="00DF20EB"/>
    <w:rsid w:val="15A40CB8"/>
    <w:rsid w:val="25565027"/>
    <w:rsid w:val="2BB90498"/>
    <w:rsid w:val="2FFE55A5"/>
    <w:rsid w:val="30114A43"/>
    <w:rsid w:val="3C4C637B"/>
    <w:rsid w:val="42242B2B"/>
    <w:rsid w:val="48CA05F2"/>
    <w:rsid w:val="4C496836"/>
    <w:rsid w:val="51F801F5"/>
    <w:rsid w:val="60274012"/>
    <w:rsid w:val="64324421"/>
    <w:rsid w:val="704E00C4"/>
    <w:rsid w:val="741B6A26"/>
    <w:rsid w:val="7CC5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EEBC1DB"/>
  <w15:docId w15:val="{7F424D50-8F2C-40A7-926F-E4444503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Calibri" w:eastAsia="宋体" w:hAnsi="Calibri" w:cs="Times New Roman"/>
      <w:kern w:val="2"/>
      <w:sz w:val="24"/>
      <w:szCs w:val="21"/>
    </w:rPr>
  </w:style>
  <w:style w:type="paragraph" w:styleId="1">
    <w:name w:val="heading 1"/>
    <w:basedOn w:val="a"/>
    <w:next w:val="a"/>
    <w:uiPriority w:val="9"/>
    <w:qFormat/>
    <w:pPr>
      <w:keepNext/>
      <w:keepLines/>
      <w:spacing w:beforeLines="50" w:before="50" w:afterLines="50" w:after="50"/>
      <w:jc w:val="left"/>
      <w:outlineLvl w:val="0"/>
    </w:pPr>
    <w:rPr>
      <w:b/>
      <w:bCs/>
      <w:kern w:val="44"/>
      <w:sz w:val="28"/>
      <w:szCs w:val="44"/>
    </w:rPr>
  </w:style>
  <w:style w:type="paragraph" w:styleId="2">
    <w:name w:val="heading 2"/>
    <w:basedOn w:val="a"/>
    <w:next w:val="a"/>
    <w:uiPriority w:val="9"/>
    <w:unhideWhenUsed/>
    <w:qFormat/>
    <w:pPr>
      <w:keepNext/>
      <w:keepLines/>
      <w:spacing w:beforeLines="50" w:before="50" w:afterLines="50" w:after="50"/>
      <w:jc w:val="left"/>
      <w:outlineLvl w:val="1"/>
    </w:pPr>
    <w:rPr>
      <w:rFonts w:ascii="Arial" w:eastAsia="仿宋"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next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style>
  <w:style w:type="table" w:styleId="a5">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1158</Words>
  <Characters>1216</Characters>
  <Application>Microsoft Office Word</Application>
  <DocSecurity>0</DocSecurity>
  <Lines>50</Lines>
  <Paragraphs>59</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Louis Kenway</cp:lastModifiedBy>
  <cp:revision>5</cp:revision>
  <cp:lastPrinted>2025-07-11T06:14:00Z</cp:lastPrinted>
  <dcterms:created xsi:type="dcterms:W3CDTF">2025-03-13T00:31:00Z</dcterms:created>
  <dcterms:modified xsi:type="dcterms:W3CDTF">2025-07-11T06:14:00Z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eyJoZGlkIjoiZTdmOTYwZDg2MzJmOTFkZTYyZjg0YzYxYmIwMGJmYTciLCJ1c2VySWQiOiIyNDE2NDMzNSJ9</vt:lpwstr>
  </property>
  <property fmtid="{D5CDD505-2E9C-101B-9397-08002B2CF9AE}" pid="3" name="KSOProductBuildVer">
    <vt:lpwstr>2052-11.8.2.12011</vt:lpwstr>
  </property>
  <property fmtid="{D5CDD505-2E9C-101B-9397-08002B2CF9AE}" pid="4" name="ICV">
    <vt:lpwstr>9C1FAF146C1E4CE4B169B9F9E0C08535_12</vt:lpwstr>
  </property>
</Properties>
</file>