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1F925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240" w:lineRule="auto"/>
        <w:jc w:val="both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/>
          <w:kern w:val="44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44"/>
          <w:sz w:val="30"/>
          <w:szCs w:val="30"/>
          <w:highlight w:val="none"/>
          <w:lang w:val="en-US" w:eastAsia="zh-CN" w:bidi="ar-SA"/>
        </w:rPr>
        <w:t>附件</w:t>
      </w:r>
    </w:p>
    <w:p w14:paraId="78E60C62">
      <w:pPr>
        <w:keepNext/>
        <w:keepLines/>
        <w:widowControl w:val="0"/>
        <w:numPr>
          <w:ilvl w:val="0"/>
          <w:numId w:val="0"/>
        </w:numPr>
        <w:bidi w:val="0"/>
        <w:spacing w:before="340" w:beforeLines="0" w:beforeAutospacing="0" w:after="330" w:afterLines="0" w:afterAutospacing="0" w:line="576" w:lineRule="auto"/>
        <w:jc w:val="center"/>
        <w:outlineLvl w:val="0"/>
        <w:rPr>
          <w:rFonts w:hint="default" w:ascii="方正小标宋_GBK" w:hAnsi="方正小标宋_GBK" w:eastAsia="方正小标宋_GBK" w:cs="方正小标宋_GBK"/>
          <w:b w:val="0"/>
          <w:bCs/>
          <w:kern w:val="44"/>
          <w:sz w:val="44"/>
          <w:szCs w:val="36"/>
          <w:highlight w:val="none"/>
          <w:lang w:val="en-US" w:eastAsia="zh-CN" w:bidi="ar-SA"/>
        </w:rPr>
      </w:pPr>
      <w:bookmarkStart w:id="0" w:name="_Toc481"/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36"/>
          <w:highlight w:val="none"/>
          <w:lang w:val="en-US" w:eastAsia="zh-CN" w:bidi="ar-SA"/>
        </w:rPr>
        <w:t>项目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36"/>
          <w:highlight w:val="none"/>
          <w:lang w:val="en-US" w:eastAsia="zh-CN" w:bidi="ar-SA"/>
        </w:rPr>
        <w:t>采购需求</w:t>
      </w:r>
    </w:p>
    <w:p w14:paraId="58563D3D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★号项为实质性要求,须在响应文件作出完全响应,未完全响应、不满足的视为无效响应。</w:t>
      </w:r>
    </w:p>
    <w:p w14:paraId="56431FC3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hint="eastAsia" w:asci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★一、比选项目内容</w:t>
      </w:r>
    </w:p>
    <w:p w14:paraId="68264E69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本项目共1个包件，采购执业医师考试、住培结业考试题库及在线考核服务采购项目，预算金额8.5万元。</w:t>
      </w:r>
    </w:p>
    <w:tbl>
      <w:tblPr>
        <w:tblStyle w:val="4"/>
        <w:tblW w:w="8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931"/>
        <w:gridCol w:w="1271"/>
        <w:gridCol w:w="2539"/>
      </w:tblGrid>
      <w:tr w14:paraId="73FE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7" w:type="dxa"/>
            <w:vAlign w:val="center"/>
          </w:tcPr>
          <w:p w14:paraId="209AF26E">
            <w:pPr>
              <w:shd w:val="clear" w:color="auto" w:fill="FFFFFF"/>
              <w:tabs>
                <w:tab w:val="left" w:pos="720"/>
                <w:tab w:val="left" w:pos="90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包件</w:t>
            </w:r>
          </w:p>
        </w:tc>
        <w:tc>
          <w:tcPr>
            <w:tcW w:w="3931" w:type="dxa"/>
            <w:vAlign w:val="center"/>
          </w:tcPr>
          <w:p w14:paraId="73532918">
            <w:pPr>
              <w:shd w:val="clear" w:color="auto" w:fill="FFFFFF"/>
              <w:tabs>
                <w:tab w:val="left" w:pos="720"/>
                <w:tab w:val="left" w:pos="90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标的名称</w:t>
            </w:r>
          </w:p>
        </w:tc>
        <w:tc>
          <w:tcPr>
            <w:tcW w:w="1271" w:type="dxa"/>
            <w:vAlign w:val="center"/>
          </w:tcPr>
          <w:p w14:paraId="585C7454">
            <w:pPr>
              <w:shd w:val="clear" w:color="auto" w:fill="FFFFFF"/>
              <w:tabs>
                <w:tab w:val="left" w:pos="720"/>
                <w:tab w:val="left" w:pos="90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数量</w:t>
            </w:r>
          </w:p>
        </w:tc>
        <w:tc>
          <w:tcPr>
            <w:tcW w:w="2539" w:type="dxa"/>
            <w:vAlign w:val="center"/>
          </w:tcPr>
          <w:p w14:paraId="6B4C9509">
            <w:pPr>
              <w:shd w:val="clear" w:color="auto" w:fill="FFFFFF"/>
              <w:tabs>
                <w:tab w:val="left" w:pos="720"/>
                <w:tab w:val="left" w:pos="90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预算金额（万元）</w:t>
            </w:r>
          </w:p>
        </w:tc>
      </w:tr>
      <w:tr w14:paraId="1E8F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07" w:type="dxa"/>
            <w:vAlign w:val="center"/>
          </w:tcPr>
          <w:p w14:paraId="00E77129">
            <w:pPr>
              <w:shd w:val="clear" w:color="auto" w:fill="FFFFFF"/>
              <w:tabs>
                <w:tab w:val="left" w:pos="720"/>
                <w:tab w:val="left" w:pos="90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931" w:type="dxa"/>
            <w:vAlign w:val="center"/>
          </w:tcPr>
          <w:p w14:paraId="49ECEF8F">
            <w:pPr>
              <w:shd w:val="clear" w:color="auto" w:fill="FFFFFF"/>
              <w:tabs>
                <w:tab w:val="left" w:pos="720"/>
                <w:tab w:val="left" w:pos="90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执业医师考试、住培结业考试题库及在线考核服务</w:t>
            </w:r>
          </w:p>
        </w:tc>
        <w:tc>
          <w:tcPr>
            <w:tcW w:w="1271" w:type="dxa"/>
            <w:vAlign w:val="center"/>
          </w:tcPr>
          <w:p w14:paraId="21AF2D99">
            <w:pPr>
              <w:shd w:val="clear" w:color="auto" w:fill="FFFFFF"/>
              <w:tabs>
                <w:tab w:val="left" w:pos="720"/>
                <w:tab w:val="left" w:pos="90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1项</w:t>
            </w:r>
          </w:p>
        </w:tc>
        <w:tc>
          <w:tcPr>
            <w:tcW w:w="2539" w:type="dxa"/>
            <w:vAlign w:val="center"/>
          </w:tcPr>
          <w:p w14:paraId="5875140F">
            <w:pPr>
              <w:shd w:val="clear" w:color="auto" w:fill="FFFFFF"/>
              <w:tabs>
                <w:tab w:val="left" w:pos="720"/>
                <w:tab w:val="left" w:pos="90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8.5</w:t>
            </w:r>
          </w:p>
        </w:tc>
      </w:tr>
    </w:tbl>
    <w:p w14:paraId="7BEC7DB5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二</w:t>
      </w:r>
      <w:r>
        <w:rPr>
          <w:rFonts w:asci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技术、</w:t>
      </w:r>
      <w:r>
        <w:rPr>
          <w:rFonts w:hint="eastAsia" w:asci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服务</w:t>
      </w:r>
      <w:r>
        <w:rPr>
          <w:rFonts w:asci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要求</w:t>
      </w:r>
    </w:p>
    <w:p w14:paraId="5F8B9D2F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★（一）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采购清单</w:t>
      </w:r>
    </w:p>
    <w:tbl>
      <w:tblPr>
        <w:tblStyle w:val="5"/>
        <w:tblW w:w="8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063"/>
        <w:gridCol w:w="5533"/>
      </w:tblGrid>
      <w:tr w14:paraId="066F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179BC8F0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服务类别</w:t>
            </w:r>
          </w:p>
        </w:tc>
        <w:tc>
          <w:tcPr>
            <w:tcW w:w="2063" w:type="dxa"/>
            <w:vAlign w:val="center"/>
          </w:tcPr>
          <w:p w14:paraId="1617490C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具体类目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204464C7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服务要求</w:t>
            </w:r>
          </w:p>
        </w:tc>
      </w:tr>
      <w:tr w14:paraId="6570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Merge w:val="restart"/>
            <w:vAlign w:val="center"/>
          </w:tcPr>
          <w:p w14:paraId="3E55B041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平台服务</w:t>
            </w:r>
          </w:p>
        </w:tc>
        <w:tc>
          <w:tcPr>
            <w:tcW w:w="2063" w:type="dxa"/>
            <w:vAlign w:val="center"/>
          </w:tcPr>
          <w:p w14:paraId="3CE2A0AC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</w:rPr>
              <w:t>考试管理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79B5D639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服务期限内定期更新维护</w:t>
            </w:r>
          </w:p>
        </w:tc>
      </w:tr>
      <w:tr w14:paraId="04EE2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Merge w:val="continue"/>
            <w:vAlign w:val="center"/>
          </w:tcPr>
          <w:p w14:paraId="2B4E041C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063" w:type="dxa"/>
            <w:vAlign w:val="center"/>
          </w:tcPr>
          <w:p w14:paraId="0D975AB9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</w:rPr>
              <w:t>学情查看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33EEA2F9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服务期限内定期更新维护</w:t>
            </w:r>
          </w:p>
        </w:tc>
      </w:tr>
      <w:tr w14:paraId="405D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Merge w:val="continue"/>
            <w:vAlign w:val="center"/>
          </w:tcPr>
          <w:p w14:paraId="4615E193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60414BE5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</w:rPr>
              <w:t>执业医师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资格考试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</w:rPr>
              <w:t>服务内容</w:t>
            </w:r>
          </w:p>
        </w:tc>
        <w:tc>
          <w:tcPr>
            <w:tcW w:w="5533" w:type="dxa"/>
            <w:vMerge w:val="restart"/>
            <w:shd w:val="clear" w:color="auto" w:fill="auto"/>
            <w:vAlign w:val="center"/>
          </w:tcPr>
          <w:p w14:paraId="48684215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学生账号不少于500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个（招录考试期间可临时提供满足报名需求的账号）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，主管理账号中西医各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1个，组卷人副管理账号中西医各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不少于5个；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同时满足至少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200名学员执业医师考试题库（中医+西医）刷题及至少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150名学员结业考试题库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刷题（中医+西医）。</w:t>
            </w:r>
          </w:p>
        </w:tc>
      </w:tr>
      <w:tr w14:paraId="144DC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Merge w:val="continue"/>
            <w:vAlign w:val="center"/>
          </w:tcPr>
          <w:p w14:paraId="30B4B8AC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063" w:type="dxa"/>
            <w:vAlign w:val="center"/>
          </w:tcPr>
          <w:p w14:paraId="74E448D8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</w:rPr>
              <w:t>住培结业考核服务内容</w:t>
            </w:r>
          </w:p>
        </w:tc>
        <w:tc>
          <w:tcPr>
            <w:tcW w:w="5533" w:type="dxa"/>
            <w:vMerge w:val="continue"/>
            <w:shd w:val="clear" w:color="auto" w:fill="auto"/>
            <w:vAlign w:val="center"/>
          </w:tcPr>
          <w:p w14:paraId="48804812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 w14:paraId="642A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65" w:type="dxa"/>
            <w:vMerge w:val="restart"/>
            <w:vAlign w:val="center"/>
          </w:tcPr>
          <w:p w14:paraId="5740D064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</w:rPr>
              <w:t>售后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服务</w:t>
            </w:r>
          </w:p>
        </w:tc>
        <w:tc>
          <w:tcPr>
            <w:tcW w:w="2063" w:type="dxa"/>
            <w:vAlign w:val="center"/>
          </w:tcPr>
          <w:p w14:paraId="425F3322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</w:rPr>
              <w:t>题库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实时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</w:rPr>
              <w:t>更新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3D54425E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服务期限内实时更新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真题及模拟试卷</w:t>
            </w:r>
          </w:p>
        </w:tc>
      </w:tr>
      <w:tr w14:paraId="7B84C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Merge w:val="continue"/>
            <w:vAlign w:val="center"/>
          </w:tcPr>
          <w:p w14:paraId="6A36D1A4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063" w:type="dxa"/>
            <w:vAlign w:val="center"/>
          </w:tcPr>
          <w:p w14:paraId="6629550A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专人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</w:rPr>
              <w:t>客服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78CEC3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1.平台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</w:rPr>
              <w:t>客服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工作日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小时内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</w:rPr>
              <w:t>响应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使用者的需求，非工作日在36小时内响应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使用者的需求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eastAsia="zh-CN"/>
              </w:rPr>
              <w:t>；</w:t>
            </w:r>
          </w:p>
          <w:p w14:paraId="378F4F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2.支持相关考试组织安排，协同完成相关落地服务;</w:t>
            </w:r>
          </w:p>
          <w:p w14:paraId="2FBD0E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2.提供技术支持，在接到采购人通知后2小时内响应，24小时内保证考试系统后台及App使用流畅。</w:t>
            </w:r>
          </w:p>
        </w:tc>
      </w:tr>
    </w:tbl>
    <w:p w14:paraId="289B60C8">
      <w:pPr>
        <w:keepNext w:val="0"/>
        <w:keepLines w:val="0"/>
        <w:pageBreakBefore w:val="0"/>
        <w:widowControl w:val="0"/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★（二）考试管理</w:t>
      </w:r>
    </w:p>
    <w:p w14:paraId="7AEB6BE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组卷功能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：</w:t>
      </w:r>
    </w:p>
    <w:p w14:paraId="6B0AF7F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（1）供应商提供灵活实操性强的设计方案，组卷功能包含至少2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种组卷方式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eastAsia="zh-CN"/>
        </w:rPr>
        <w:t>按学科、按难易度、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出题策略等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eastAsia="zh-CN"/>
        </w:rPr>
        <w:t>定制平台卷库组卷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；</w:t>
      </w:r>
    </w:p>
    <w:p w14:paraId="71C133C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中医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涵盖2025年最新大纲要求的学科内容的题库组卷，专业、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学科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分类详细，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包括临床所有类别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中采购人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规培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中医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涉及的轮转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科室所对应的学科专业，包含但不限于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中医基础理论、中医经典、中医诊断学、中药方剂学、针灸推拿学、中医内科、中医外科、中医妇科、中医儿科、中医骨伤科、中医眼科、中医耳鼻喉科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、中医急诊科等；</w:t>
      </w:r>
    </w:p>
    <w:p w14:paraId="403C455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西医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至少20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学科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题库组卷，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分类详细，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包括临床所有类别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中采购人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规培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西医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涉及的轮转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科室所对应的学科专业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但不限于骨科、全科、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麻醉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声科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妇产科、儿科、内科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外科、皮肤科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耳鼻咽喉科、眼科、影像科、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急诊科、重症医学科等，组卷题库内容包含执业医师考试及规培结业考试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；</w:t>
      </w:r>
    </w:p>
    <w:p w14:paraId="6F720CF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组织招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录考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西医+中医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、出科考试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西医+中医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、年度考试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中医+西医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、执业医师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模拟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中医+西医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规培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模拟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中医+西医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等多种考试类型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7BB41116">
      <w:pPr>
        <w:keepNext w:val="0"/>
        <w:keepLines w:val="0"/>
        <w:pageBreakBefore w:val="0"/>
        <w:widowControl w:val="0"/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考务设置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合理，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  <w:t>可根据要求统一将学员按不同标签分类导入到系统平台，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根据学员标签或分组指向性发布考试，支持考试时间、限制最短答题时长和最晚到到达考场等设置；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支持手机端及PC端电脑登录。</w:t>
      </w:r>
    </w:p>
    <w:p w14:paraId="774977E1">
      <w:pPr>
        <w:keepNext w:val="0"/>
        <w:keepLines w:val="0"/>
        <w:pageBreakBefore w:val="0"/>
        <w:widowControl w:val="0"/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3.成绩管理：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bidi="ar"/>
        </w:rPr>
        <w:t>支持考后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 w:bidi="ar"/>
        </w:rPr>
        <w:t>选择是否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bidi="ar"/>
        </w:rPr>
        <w:t>显示成绩等功能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bidi="ar"/>
        </w:rPr>
        <w:t>考试结束后，可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  <w:t>批量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bidi="ar"/>
        </w:rPr>
        <w:t>导出成绩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并进行成绩分析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 w:bidi="ar"/>
        </w:rPr>
        <w:t>。</w:t>
      </w:r>
    </w:p>
    <w:p w14:paraId="0F92BF6D">
      <w:pPr>
        <w:keepNext w:val="0"/>
        <w:keepLines w:val="0"/>
        <w:pageBreakBefore w:val="0"/>
        <w:widowControl w:val="0"/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bidi="ar"/>
        </w:rPr>
        <w:t>题型：支持A1(单项最佳选择题)，A2(病例摘要型最佳选择题)，A3/A4(病例组型最佳选择题)，B型题(标准配伍题)，X型题(多项选择题)，C型题(综合分析选择题)，案例分析题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等。</w:t>
      </w:r>
    </w:p>
    <w:p w14:paraId="30C611E2">
      <w:pPr>
        <w:keepNext w:val="0"/>
        <w:keepLines w:val="0"/>
        <w:pageBreakBefore w:val="0"/>
        <w:widowControl w:val="0"/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防作弊：自带防作弊功能限制，保证考试公平公正;</w:t>
      </w:r>
    </w:p>
    <w:p w14:paraId="5658274B">
      <w:pPr>
        <w:keepNext w:val="0"/>
        <w:keepLines w:val="0"/>
        <w:pageBreakBefore w:val="0"/>
        <w:widowControl w:val="0"/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存档：组织规培、临床执业医师资格等相关专业考试并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将原始数据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形成档案留存。</w:t>
      </w:r>
    </w:p>
    <w:p w14:paraId="5785E57A">
      <w:pPr>
        <w:keepNext w:val="0"/>
        <w:keepLines w:val="0"/>
        <w:pageBreakBefore w:val="0"/>
        <w:widowControl w:val="0"/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（三）学情查看</w:t>
      </w:r>
    </w:p>
    <w:p w14:paraId="6C22F5D1">
      <w:pPr>
        <w:keepNext w:val="0"/>
        <w:keepLines w:val="0"/>
        <w:pageBreakBefore w:val="0"/>
        <w:widowControl w:val="0"/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管理员可通过独立管理权限，查看所有学员刷题、看课、模考数据，使用平台数据分析功能，了解学员学习情况。</w:t>
      </w:r>
    </w:p>
    <w:p w14:paraId="2B89384A">
      <w:pPr>
        <w:keepNext w:val="0"/>
        <w:keepLines w:val="0"/>
        <w:pageBreakBefore w:val="0"/>
        <w:widowControl w:val="0"/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）执业医师资格考试服务内容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29"/>
        <w:gridCol w:w="6695"/>
        <w:gridCol w:w="817"/>
      </w:tblGrid>
      <w:tr w14:paraId="2F7F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 w14:paraId="1704E1FB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服务类别</w:t>
            </w:r>
          </w:p>
        </w:tc>
        <w:tc>
          <w:tcPr>
            <w:tcW w:w="829" w:type="dxa"/>
            <w:vAlign w:val="center"/>
          </w:tcPr>
          <w:p w14:paraId="625ED727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类别名称</w:t>
            </w:r>
          </w:p>
        </w:tc>
        <w:tc>
          <w:tcPr>
            <w:tcW w:w="6695" w:type="dxa"/>
            <w:vAlign w:val="center"/>
          </w:tcPr>
          <w:p w14:paraId="4D81DE25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执业医师资格考试服务内容（中医+西医）</w:t>
            </w:r>
          </w:p>
        </w:tc>
        <w:tc>
          <w:tcPr>
            <w:tcW w:w="817" w:type="dxa"/>
            <w:vAlign w:val="center"/>
          </w:tcPr>
          <w:p w14:paraId="15BC0FF7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使用形式</w:t>
            </w:r>
          </w:p>
        </w:tc>
      </w:tr>
      <w:tr w14:paraId="1BAF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Merge w:val="restart"/>
            <w:vAlign w:val="center"/>
          </w:tcPr>
          <w:p w14:paraId="32D9F783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</w:p>
          <w:p w14:paraId="1160BB06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题</w:t>
            </w:r>
          </w:p>
          <w:p w14:paraId="73A6C1BE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库</w:t>
            </w:r>
          </w:p>
          <w:p w14:paraId="200971B8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</w:rPr>
              <w:t>★</w:t>
            </w:r>
          </w:p>
        </w:tc>
        <w:tc>
          <w:tcPr>
            <w:tcW w:w="829" w:type="dxa"/>
            <w:vAlign w:val="center"/>
          </w:tcPr>
          <w:p w14:paraId="24B3DB8C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中医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笔试题库</w:t>
            </w:r>
          </w:p>
        </w:tc>
        <w:tc>
          <w:tcPr>
            <w:tcW w:w="6695" w:type="dxa"/>
            <w:vAlign w:val="center"/>
          </w:tcPr>
          <w:p w14:paraId="74B7907E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1.学科真题:按学科分类,题目总数不少于10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000题,2025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大纲新增考点练习题不少于5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00题；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每道题目均需配有完整的考点还原和答案解析。</w:t>
            </w:r>
          </w:p>
          <w:p w14:paraId="6D61315B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2.年份真题:至少包含2000-2024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年共25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年真题。</w:t>
            </w:r>
          </w:p>
          <w:p w14:paraId="678F5C77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3.模块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真题:以官方考纲为依据，按模块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分类，例如中医基础理论、中医临床技能、西医基础知识、医学人文与伦理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各个模块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的真题，将考点融会贯通。</w:t>
            </w:r>
          </w:p>
        </w:tc>
        <w:tc>
          <w:tcPr>
            <w:tcW w:w="817" w:type="dxa"/>
            <w:vMerge w:val="restart"/>
            <w:vAlign w:val="center"/>
          </w:tcPr>
          <w:p w14:paraId="02B702CF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App平台</w:t>
            </w:r>
          </w:p>
        </w:tc>
      </w:tr>
      <w:tr w14:paraId="5AED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vMerge w:val="continue"/>
            <w:vAlign w:val="center"/>
          </w:tcPr>
          <w:p w14:paraId="1FAC3D2B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46EEC8FA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西医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笔试题库</w:t>
            </w:r>
          </w:p>
        </w:tc>
        <w:tc>
          <w:tcPr>
            <w:tcW w:w="6695" w:type="dxa"/>
            <w:vAlign w:val="center"/>
          </w:tcPr>
          <w:p w14:paraId="0139EEEB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1.学科真题:按学科分类,题目总数不少于14000题,2025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大纲新增考点练习题不少于600题。每道题目均需配有完整的考点还原和答案解析。</w:t>
            </w:r>
          </w:p>
          <w:p w14:paraId="4C272EE5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2.年份真题:至少包含2000-2024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年共25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年真题。</w:t>
            </w:r>
          </w:p>
          <w:p w14:paraId="1FBE7977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3.系统真题:以官方考纲为依据，按系统分类，例如呼吸系统、消化系统、心血管系统等，横向串联所有学科内各个系统的真题，将考点融会贯通。</w:t>
            </w:r>
          </w:p>
        </w:tc>
        <w:tc>
          <w:tcPr>
            <w:tcW w:w="817" w:type="dxa"/>
            <w:vMerge w:val="continue"/>
            <w:vAlign w:val="center"/>
          </w:tcPr>
          <w:p w14:paraId="7DC40FF4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4B3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Merge w:val="continue"/>
            <w:vAlign w:val="center"/>
          </w:tcPr>
          <w:p w14:paraId="7E1C7D91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2D327AF4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技能题库</w:t>
            </w:r>
          </w:p>
        </w:tc>
        <w:tc>
          <w:tcPr>
            <w:tcW w:w="6695" w:type="dxa"/>
            <w:vAlign w:val="center"/>
          </w:tcPr>
          <w:p w14:paraId="7ED79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含中医+西医各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不少于1000题，包含各考站试题、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技能考试评分标准，题目根据2025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年技能考试大纲更新。</w:t>
            </w:r>
          </w:p>
        </w:tc>
        <w:tc>
          <w:tcPr>
            <w:tcW w:w="817" w:type="dxa"/>
            <w:vMerge w:val="continue"/>
            <w:vAlign w:val="center"/>
          </w:tcPr>
          <w:p w14:paraId="24628298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683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Merge w:val="restart"/>
            <w:vAlign w:val="center"/>
          </w:tcPr>
          <w:p w14:paraId="111FB0A8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课</w:t>
            </w:r>
          </w:p>
          <w:p w14:paraId="56B34C41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程</w:t>
            </w:r>
          </w:p>
        </w:tc>
        <w:tc>
          <w:tcPr>
            <w:tcW w:w="829" w:type="dxa"/>
            <w:vAlign w:val="center"/>
          </w:tcPr>
          <w:p w14:paraId="09B392A1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笔试讲解</w:t>
            </w:r>
          </w:p>
        </w:tc>
        <w:tc>
          <w:tcPr>
            <w:tcW w:w="6695" w:type="dxa"/>
            <w:vAlign w:val="center"/>
          </w:tcPr>
          <w:p w14:paraId="120DF918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中医+西医均不少于100课时量，重点讲解理论机制，培养考生的临床思维。</w:t>
            </w:r>
          </w:p>
        </w:tc>
        <w:tc>
          <w:tcPr>
            <w:tcW w:w="817" w:type="dxa"/>
            <w:vMerge w:val="continue"/>
            <w:vAlign w:val="center"/>
          </w:tcPr>
          <w:p w14:paraId="6EA374E9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23E1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Merge w:val="continue"/>
            <w:vAlign w:val="center"/>
          </w:tcPr>
          <w:p w14:paraId="4E4F9C13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0D889C9E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技能实操</w:t>
            </w:r>
          </w:p>
        </w:tc>
        <w:tc>
          <w:tcPr>
            <w:tcW w:w="6695" w:type="dxa"/>
            <w:vAlign w:val="center"/>
          </w:tcPr>
          <w:p w14:paraId="157DD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中医+西医均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不少于60课时量。</w:t>
            </w:r>
          </w:p>
        </w:tc>
        <w:tc>
          <w:tcPr>
            <w:tcW w:w="817" w:type="dxa"/>
            <w:vMerge w:val="continue"/>
            <w:vAlign w:val="center"/>
          </w:tcPr>
          <w:p w14:paraId="5B36D47D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16E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Merge w:val="continue"/>
            <w:vAlign w:val="center"/>
          </w:tcPr>
          <w:p w14:paraId="48F5893C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04C7A618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真题讲解</w:t>
            </w:r>
          </w:p>
        </w:tc>
        <w:tc>
          <w:tcPr>
            <w:tcW w:w="6695" w:type="dxa"/>
            <w:vAlign w:val="center"/>
          </w:tcPr>
          <w:p w14:paraId="1E2039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1.中医+西医均不少于100课时量；</w:t>
            </w:r>
          </w:p>
          <w:p w14:paraId="4C5E5F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2.至少包含2014-2024年共10年真题讲解，名师带考生刷题，共享答题界面，预测高频考点。</w:t>
            </w:r>
          </w:p>
        </w:tc>
        <w:tc>
          <w:tcPr>
            <w:tcW w:w="817" w:type="dxa"/>
            <w:vMerge w:val="continue"/>
            <w:vAlign w:val="center"/>
          </w:tcPr>
          <w:p w14:paraId="27D05933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289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Merge w:val="continue"/>
            <w:vAlign w:val="center"/>
          </w:tcPr>
          <w:p w14:paraId="4B76819F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6EF7158F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考前押题</w:t>
            </w:r>
          </w:p>
        </w:tc>
        <w:tc>
          <w:tcPr>
            <w:tcW w:w="6695" w:type="dxa"/>
            <w:vAlign w:val="center"/>
          </w:tcPr>
          <w:p w14:paraId="7EDEA3BA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针对大纲新增考点、调整考点、高频考点进行押题讲解的课程，用于考前提分。</w:t>
            </w:r>
          </w:p>
        </w:tc>
        <w:tc>
          <w:tcPr>
            <w:tcW w:w="817" w:type="dxa"/>
            <w:vMerge w:val="continue"/>
            <w:vAlign w:val="center"/>
          </w:tcPr>
          <w:p w14:paraId="240518DC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146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vAlign w:val="center"/>
          </w:tcPr>
          <w:p w14:paraId="6EBB2868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考试</w:t>
            </w:r>
          </w:p>
        </w:tc>
        <w:tc>
          <w:tcPr>
            <w:tcW w:w="829" w:type="dxa"/>
            <w:vAlign w:val="center"/>
          </w:tcPr>
          <w:p w14:paraId="0FD61F4F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模拟考试</w:t>
            </w:r>
          </w:p>
        </w:tc>
        <w:tc>
          <w:tcPr>
            <w:tcW w:w="6695" w:type="dxa"/>
            <w:vAlign w:val="center"/>
          </w:tcPr>
          <w:p w14:paraId="5CE886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1.中医+西医均不少于6套标准模拟试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卷，可组织不少于6次模拟考试；</w:t>
            </w:r>
          </w:p>
          <w:p w14:paraId="71CADD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2.每年根据大纲更新，每套模拟试卷含4个单元。</w:t>
            </w:r>
          </w:p>
        </w:tc>
        <w:tc>
          <w:tcPr>
            <w:tcW w:w="817" w:type="dxa"/>
            <w:vAlign w:val="center"/>
          </w:tcPr>
          <w:p w14:paraId="3BE60BEA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考试管理平台</w:t>
            </w:r>
          </w:p>
        </w:tc>
      </w:tr>
    </w:tbl>
    <w:p w14:paraId="322A0EEC">
      <w:pPr>
        <w:keepNext w:val="0"/>
        <w:keepLines w:val="0"/>
        <w:pageBreakBefore w:val="0"/>
        <w:widowControl w:val="0"/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（五）住培结业考试服务内容</w:t>
      </w:r>
    </w:p>
    <w:tbl>
      <w:tblPr>
        <w:tblStyle w:val="5"/>
        <w:tblW w:w="0" w:type="auto"/>
        <w:tblInd w:w="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24"/>
        <w:gridCol w:w="5939"/>
        <w:gridCol w:w="848"/>
      </w:tblGrid>
      <w:tr w14:paraId="1B093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 w14:paraId="1FD2B701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服务类别</w:t>
            </w:r>
          </w:p>
        </w:tc>
        <w:tc>
          <w:tcPr>
            <w:tcW w:w="866" w:type="dxa"/>
            <w:vAlign w:val="center"/>
          </w:tcPr>
          <w:p w14:paraId="2294EBB8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类别名称</w:t>
            </w:r>
          </w:p>
        </w:tc>
        <w:tc>
          <w:tcPr>
            <w:tcW w:w="6586" w:type="dxa"/>
            <w:vAlign w:val="center"/>
          </w:tcPr>
          <w:p w14:paraId="66A94123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住培结业考试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875" w:type="dxa"/>
            <w:vAlign w:val="center"/>
          </w:tcPr>
          <w:p w14:paraId="5FD06243"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使用形式</w:t>
            </w:r>
          </w:p>
        </w:tc>
      </w:tr>
      <w:tr w14:paraId="12CC2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Merge w:val="restart"/>
            <w:vAlign w:val="center"/>
          </w:tcPr>
          <w:p w14:paraId="3C960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</w:rPr>
              <w:t>★</w:t>
            </w:r>
          </w:p>
          <w:p w14:paraId="62A8C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题库</w:t>
            </w:r>
          </w:p>
          <w:p w14:paraId="77C878E8"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 w14:paraId="2F0C3112"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中医规培</w:t>
            </w:r>
          </w:p>
          <w:p w14:paraId="4A508FAD"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笔试</w:t>
            </w:r>
          </w:p>
        </w:tc>
        <w:tc>
          <w:tcPr>
            <w:tcW w:w="6586" w:type="dxa"/>
            <w:vAlign w:val="center"/>
          </w:tcPr>
          <w:p w14:paraId="3C1027D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结业考核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专业题库包含中医及中医全科所有专业的大纲所要求的内容，包含但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不限于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中医基础理论、中医经典、中医诊断学、中药方剂学、针灸推拿学、中医内科、中医外科、中医妇科、中医儿科、中医骨伤科、中医眼科、中医耳鼻喉科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、中医急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诊科等专业、学科，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合计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不少于2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0000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道题。</w:t>
            </w:r>
          </w:p>
          <w:p w14:paraId="7D9F9845">
            <w:pPr>
              <w:numPr>
                <w:ilvl w:val="0"/>
                <w:numId w:val="0"/>
              </w:numPr>
              <w:tabs>
                <w:tab w:val="left" w:pos="720"/>
                <w:tab w:val="left" w:pos="900"/>
              </w:tabs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</w:rPr>
              <w:t>2.题库试题及解析全部根据最新《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中医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</w:rPr>
              <w:t>住院医师规范化培训结业理论考核大纲》内容编写，需包含中医基础理论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</w:rPr>
              <w:t>中医临床技能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</w:rPr>
              <w:t>西医基础知识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</w:rPr>
              <w:t>医学人文与伦理至少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</w:rPr>
              <w:t>个考试模块，覆盖规培结业考试的全部科目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。</w:t>
            </w:r>
          </w:p>
          <w:p w14:paraId="13B51E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</w:rPr>
              <w:t>3.每题需配有考点还原、答案解析等内容。</w:t>
            </w:r>
          </w:p>
        </w:tc>
        <w:tc>
          <w:tcPr>
            <w:tcW w:w="875" w:type="dxa"/>
            <w:vMerge w:val="restart"/>
            <w:vAlign w:val="center"/>
          </w:tcPr>
          <w:p w14:paraId="24AD647E"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App平台</w:t>
            </w:r>
          </w:p>
        </w:tc>
      </w:tr>
      <w:tr w14:paraId="1E4CF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Merge w:val="continue"/>
            <w:vAlign w:val="center"/>
          </w:tcPr>
          <w:p w14:paraId="73A3791F"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3E31E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西医规培</w:t>
            </w:r>
          </w:p>
          <w:p w14:paraId="5D7DE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笔试</w:t>
            </w:r>
          </w:p>
          <w:p w14:paraId="5DAB198A"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6586" w:type="dxa"/>
            <w:shd w:val="clear" w:color="auto" w:fill="auto"/>
            <w:vAlign w:val="center"/>
          </w:tcPr>
          <w:p w14:paraId="347FFAA0"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1.结业考核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专业题库包含但不限于骨科、全科、麻醉科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、超声科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、妇产科、内科、外科等专业，以上7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lang w:eastAsia="zh-CN" w:bidi="ar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不少于3000道题。</w:t>
            </w:r>
          </w:p>
          <w:p w14:paraId="0883732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2.题库试题及解析全部根据最新《住院医师规范化培训结业理论考核大纲》内容编写，需包含公共基础理论、学科专业理论、技能实操至少3个考试模块，覆盖规培结业考试的全部科目；</w:t>
            </w:r>
          </w:p>
          <w:p w14:paraId="1D7F8FEF"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3.每题需配有考点还原、答案解析等内容。</w:t>
            </w:r>
          </w:p>
        </w:tc>
        <w:tc>
          <w:tcPr>
            <w:tcW w:w="875" w:type="dxa"/>
            <w:vMerge w:val="continue"/>
            <w:vAlign w:val="center"/>
          </w:tcPr>
          <w:p w14:paraId="3F459237"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2E9D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 w14:paraId="60EA9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课程</w:t>
            </w:r>
          </w:p>
        </w:tc>
        <w:tc>
          <w:tcPr>
            <w:tcW w:w="866" w:type="dxa"/>
            <w:vAlign w:val="center"/>
          </w:tcPr>
          <w:p w14:paraId="3E0CE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笔试讲解</w:t>
            </w:r>
          </w:p>
        </w:tc>
        <w:tc>
          <w:tcPr>
            <w:tcW w:w="6586" w:type="dxa"/>
            <w:vAlign w:val="center"/>
          </w:tcPr>
          <w:p w14:paraId="4EA7555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1.实时更新讲解课程；</w:t>
            </w:r>
          </w:p>
          <w:p w14:paraId="45ABBCC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2.每个专业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（中医+西医）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的课程均不少于50课时。</w:t>
            </w:r>
          </w:p>
        </w:tc>
        <w:tc>
          <w:tcPr>
            <w:tcW w:w="875" w:type="dxa"/>
            <w:vMerge w:val="continue"/>
            <w:vAlign w:val="center"/>
          </w:tcPr>
          <w:p w14:paraId="1FE51A81"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A3BD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 w14:paraId="0FE94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考试</w:t>
            </w:r>
          </w:p>
        </w:tc>
        <w:tc>
          <w:tcPr>
            <w:tcW w:w="866" w:type="dxa"/>
            <w:vAlign w:val="center"/>
          </w:tcPr>
          <w:p w14:paraId="5F2624DB"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模拟考试</w:t>
            </w:r>
          </w:p>
        </w:tc>
        <w:tc>
          <w:tcPr>
            <w:tcW w:w="6586" w:type="dxa"/>
            <w:vAlign w:val="center"/>
          </w:tcPr>
          <w:p w14:paraId="55AA7869"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每个专业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（中医+西医）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至少配有6套标准模拟试卷，根据大纲更新。</w:t>
            </w:r>
          </w:p>
        </w:tc>
        <w:tc>
          <w:tcPr>
            <w:tcW w:w="875" w:type="dxa"/>
            <w:vAlign w:val="center"/>
          </w:tcPr>
          <w:p w14:paraId="4BACE6D6"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考试管理平台</w:t>
            </w:r>
          </w:p>
        </w:tc>
      </w:tr>
    </w:tbl>
    <w:p w14:paraId="7D907D45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三</w:t>
      </w:r>
      <w:r>
        <w:rPr>
          <w:rFonts w:asci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、商务要求</w:t>
      </w:r>
    </w:p>
    <w:p w14:paraId="2B22CA89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1.服务期限：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验收合格后服务期1年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。</w:t>
      </w:r>
    </w:p>
    <w:p w14:paraId="70C0B705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2.报价：本项目预算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8.5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万元；报价超过采购预算，其比选申请文件按无效处理。</w:t>
      </w:r>
    </w:p>
    <w:p w14:paraId="2C3A1F12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3.付款方式：甲、乙双方合同签订生效，乙方通过项目验收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服务期满后，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在甲方收到乙方开具的合法有效完整的票据后10个工作日内，甲方向乙方支付项目全部合同款。</w:t>
      </w:r>
    </w:p>
    <w:p w14:paraId="4CC6D0E0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4.服务地点：成都市中西医结合医院。</w:t>
      </w:r>
    </w:p>
    <w:p w14:paraId="01DC7456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5.验收要求：按照相关法律法规的要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求进行履约验收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ZmUxZjUzMjY2OGYxMTk4N2M4YTc1ZjZhYTc3N2YifQ=="/>
  </w:docVars>
  <w:rsids>
    <w:rsidRoot w:val="00000000"/>
    <w:rsid w:val="1B873B3D"/>
    <w:rsid w:val="45110459"/>
    <w:rsid w:val="7853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仿宋_GB2312" w:hAnsi="仿宋_GB2312" w:eastAsia="仿宋_GB2312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916</Words>
  <Characters>930</Characters>
  <Lines>0</Lines>
  <Paragraphs>0</Paragraphs>
  <TotalTime>2</TotalTime>
  <ScaleCrop>false</ScaleCrop>
  <LinksUpToDate>false</LinksUpToDate>
  <CharactersWithSpaces>931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2024-10-22T02:21:00Z</dcterms:created>
  <dc:creator>Administrator</dc:creator>
  <cp:lastModifiedBy>国招邓诗依</cp:lastModifiedBy>
  <dcterms:modified xsi:type="dcterms:W3CDTF">2025-07-16T03:20:31Z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4028AC1DA5DA4FB9B6A0A8EC7C1DC9EB_13</vt:lpwstr>
  </property>
  <property fmtid="{D5CDD505-2E9C-101B-9397-08002B2CF9AE}" pid="4" name="KSOTemplateDocerSaveRecord">
    <vt:lpwstr>eyJoZGlkIjoiMWRhMTBhYzU5NmFlY2Q4MDk0YWVmZTU1YWVjYmNmZTkiLCJ1c2VySWQiOiI0Mzg0NTQzMTEifQ==</vt:lpwstr>
  </property>
</Properties>
</file>