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8B82A">
      <w:pPr>
        <w:keepNext/>
        <w:keepLines/>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240" w:lineRule="auto"/>
        <w:jc w:val="both"/>
        <w:textAlignment w:val="auto"/>
        <w:outlineLvl w:val="0"/>
        <w:rPr>
          <w:rFonts w:hint="default" w:ascii="Times New Roman" w:hAnsi="Times New Roman" w:eastAsia="方正小标宋_GBK" w:cs="Times New Roman"/>
          <w:b w:val="0"/>
          <w:bCs/>
          <w:kern w:val="44"/>
          <w:sz w:val="30"/>
          <w:szCs w:val="30"/>
          <w:highlight w:val="none"/>
          <w:lang w:val="en-US" w:eastAsia="zh-CN" w:bidi="ar-SA"/>
        </w:rPr>
      </w:pPr>
      <w:r>
        <w:rPr>
          <w:rFonts w:hint="default" w:ascii="Times New Roman" w:hAnsi="Times New Roman" w:eastAsia="方正小标宋_GBK" w:cs="Times New Roman"/>
          <w:b w:val="0"/>
          <w:bCs/>
          <w:kern w:val="44"/>
          <w:sz w:val="30"/>
          <w:szCs w:val="30"/>
          <w:highlight w:val="none"/>
          <w:lang w:val="en-US" w:eastAsia="zh-CN" w:bidi="ar-SA"/>
        </w:rPr>
        <w:t>附件</w:t>
      </w:r>
    </w:p>
    <w:p w14:paraId="75F2C804">
      <w:pPr>
        <w:keepNext/>
        <w:keepLines/>
        <w:widowControl w:val="0"/>
        <w:numPr>
          <w:ilvl w:val="0"/>
          <w:numId w:val="0"/>
        </w:numPr>
        <w:bidi w:val="0"/>
        <w:spacing w:before="340" w:beforeLines="0" w:beforeAutospacing="0" w:after="330" w:afterLines="0" w:afterAutospacing="0" w:line="576" w:lineRule="auto"/>
        <w:jc w:val="center"/>
        <w:outlineLvl w:val="0"/>
        <w:rPr>
          <w:rFonts w:hint="default" w:ascii="方正小标宋_GBK" w:hAnsi="方正小标宋_GBK" w:eastAsia="方正小标宋_GBK" w:cs="方正小标宋_GBK"/>
          <w:b w:val="0"/>
          <w:bCs/>
          <w:kern w:val="44"/>
          <w:sz w:val="44"/>
          <w:szCs w:val="36"/>
          <w:highlight w:val="none"/>
          <w:lang w:val="en-US" w:eastAsia="zh-CN" w:bidi="ar-SA"/>
        </w:rPr>
      </w:pPr>
      <w:bookmarkStart w:id="0" w:name="_Toc481"/>
      <w:r>
        <w:rPr>
          <w:rFonts w:hint="eastAsia" w:ascii="方正小标宋_GBK" w:hAnsi="方正小标宋_GBK" w:eastAsia="方正小标宋_GBK" w:cs="方正小标宋_GBK"/>
          <w:b w:val="0"/>
          <w:bCs/>
          <w:kern w:val="44"/>
          <w:sz w:val="44"/>
          <w:szCs w:val="36"/>
          <w:highlight w:val="none"/>
          <w:lang w:val="en-US" w:eastAsia="zh-CN" w:bidi="ar-SA"/>
        </w:rPr>
        <w:t>项目</w:t>
      </w:r>
      <w:bookmarkEnd w:id="0"/>
      <w:r>
        <w:rPr>
          <w:rFonts w:hint="eastAsia" w:ascii="方正小标宋_GBK" w:hAnsi="方正小标宋_GBK" w:eastAsia="方正小标宋_GBK" w:cs="方正小标宋_GBK"/>
          <w:b w:val="0"/>
          <w:bCs/>
          <w:kern w:val="44"/>
          <w:sz w:val="44"/>
          <w:szCs w:val="36"/>
          <w:highlight w:val="none"/>
          <w:lang w:val="en-US" w:eastAsia="zh-CN" w:bidi="ar-SA"/>
        </w:rPr>
        <w:t>采购需求</w:t>
      </w:r>
    </w:p>
    <w:p w14:paraId="5536D875">
      <w:pPr>
        <w:shd w:val="clear" w:color="auto" w:fill="FFFFFF"/>
        <w:tabs>
          <w:tab w:val="left" w:pos="720"/>
          <w:tab w:val="left" w:pos="900"/>
        </w:tabs>
        <w:adjustRightInd w:val="0"/>
        <w:snapToGrid w:val="0"/>
        <w:spacing w:line="560" w:lineRule="exact"/>
        <w:ind w:firstLine="640" w:firstLineChars="200"/>
        <w:rPr>
          <w:rFonts w:ascii="Times New Roman" w:hAnsi="Times New Roman" w:eastAsia="黑体" w:cs="Times New Roman"/>
          <w:sz w:val="32"/>
          <w:szCs w:val="32"/>
          <w:shd w:val="clear" w:color="auto" w:fill="FFFFFF"/>
        </w:rPr>
      </w:pPr>
      <w:r>
        <w:rPr>
          <w:rFonts w:hint="eastAsia" w:ascii="Times New Roman" w:hAnsi="Times New Roman" w:eastAsia="黑体" w:cs="Times New Roman"/>
          <w:sz w:val="32"/>
          <w:szCs w:val="32"/>
          <w:shd w:val="clear" w:color="auto" w:fill="FFFFFF"/>
        </w:rPr>
        <w:t>一、比选项目内容</w:t>
      </w:r>
    </w:p>
    <w:p w14:paraId="71BBCDDF">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本项目共1个包件，采购</w:t>
      </w:r>
      <w:r>
        <w:rPr>
          <w:rFonts w:hint="eastAsia" w:ascii="仿宋_GB2312" w:hAnsi="仿宋_GB2312" w:eastAsia="仿宋_GB2312" w:cs="仿宋_GB2312"/>
          <w:sz w:val="32"/>
          <w:szCs w:val="32"/>
          <w:shd w:val="clear" w:color="auto" w:fill="FFFFFF"/>
          <w:lang w:eastAsia="zh-CN"/>
        </w:rPr>
        <w:t>小鼠肝脏多组学实验项目检测服务</w:t>
      </w:r>
      <w:r>
        <w:rPr>
          <w:rFonts w:hint="eastAsia" w:ascii="仿宋_GB2312" w:hAnsi="仿宋_GB2312" w:eastAsia="仿宋_GB2312" w:cs="仿宋_GB2312"/>
          <w:sz w:val="32"/>
          <w:szCs w:val="32"/>
          <w:shd w:val="clear" w:color="auto" w:fill="FFFFFF"/>
        </w:rPr>
        <w:t>项目，预算金额7万元。</w:t>
      </w:r>
    </w:p>
    <w:tbl>
      <w:tblPr>
        <w:tblStyle w:val="4"/>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3352"/>
        <w:gridCol w:w="1680"/>
        <w:gridCol w:w="2539"/>
      </w:tblGrid>
      <w:tr w14:paraId="055C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77" w:type="dxa"/>
            <w:vAlign w:val="center"/>
          </w:tcPr>
          <w:p w14:paraId="19140F95">
            <w:pPr>
              <w:shd w:val="clear" w:color="auto" w:fill="FFFFFF"/>
              <w:tabs>
                <w:tab w:val="left" w:pos="720"/>
              </w:tabs>
              <w:snapToGrid w:val="0"/>
              <w:spacing w:line="400" w:lineRule="exact"/>
              <w:jc w:val="center"/>
              <w:rPr>
                <w:rFonts w:ascii="Times New Roman" w:hAnsi="Times New Roman" w:eastAsia="仿宋_GB2312" w:cs="Times New Roman"/>
                <w:b/>
                <w:sz w:val="28"/>
                <w:szCs w:val="28"/>
                <w:shd w:val="clear" w:color="auto" w:fill="FFFFFF"/>
              </w:rPr>
            </w:pPr>
            <w:r>
              <w:rPr>
                <w:rFonts w:ascii="Times New Roman" w:hAnsi="Times New Roman" w:eastAsia="仿宋_GB2312" w:cs="Times New Roman"/>
                <w:b/>
                <w:sz w:val="28"/>
                <w:szCs w:val="28"/>
                <w:shd w:val="clear" w:color="auto" w:fill="FFFFFF"/>
              </w:rPr>
              <w:t>包件</w:t>
            </w:r>
          </w:p>
        </w:tc>
        <w:tc>
          <w:tcPr>
            <w:tcW w:w="3352" w:type="dxa"/>
            <w:vAlign w:val="center"/>
          </w:tcPr>
          <w:p w14:paraId="2A8A58E8">
            <w:pPr>
              <w:shd w:val="clear" w:color="auto" w:fill="FFFFFF"/>
              <w:tabs>
                <w:tab w:val="left" w:pos="720"/>
              </w:tabs>
              <w:snapToGrid w:val="0"/>
              <w:spacing w:line="400" w:lineRule="exact"/>
              <w:jc w:val="center"/>
              <w:rPr>
                <w:rFonts w:ascii="Times New Roman" w:hAnsi="Times New Roman" w:eastAsia="仿宋_GB2312" w:cs="Times New Roman"/>
                <w:b/>
                <w:sz w:val="28"/>
                <w:szCs w:val="28"/>
                <w:shd w:val="clear" w:color="auto" w:fill="FFFFFF"/>
              </w:rPr>
            </w:pPr>
            <w:r>
              <w:rPr>
                <w:rFonts w:hint="eastAsia" w:ascii="Times New Roman" w:hAnsi="Times New Roman" w:eastAsia="仿宋_GB2312" w:cs="Times New Roman"/>
                <w:b/>
                <w:sz w:val="28"/>
                <w:szCs w:val="28"/>
                <w:shd w:val="clear" w:color="auto" w:fill="FFFFFF"/>
              </w:rPr>
              <w:t>标的</w:t>
            </w:r>
            <w:r>
              <w:rPr>
                <w:rFonts w:ascii="Times New Roman" w:hAnsi="Times New Roman" w:eastAsia="仿宋_GB2312" w:cs="Times New Roman"/>
                <w:b/>
                <w:sz w:val="28"/>
                <w:szCs w:val="28"/>
                <w:shd w:val="clear" w:color="auto" w:fill="FFFFFF"/>
              </w:rPr>
              <w:t>名称</w:t>
            </w:r>
          </w:p>
        </w:tc>
        <w:tc>
          <w:tcPr>
            <w:tcW w:w="1680" w:type="dxa"/>
            <w:vAlign w:val="center"/>
          </w:tcPr>
          <w:p w14:paraId="4E5AD951">
            <w:pPr>
              <w:shd w:val="clear" w:color="auto" w:fill="FFFFFF"/>
              <w:tabs>
                <w:tab w:val="left" w:pos="720"/>
              </w:tabs>
              <w:snapToGrid w:val="0"/>
              <w:spacing w:line="400" w:lineRule="exact"/>
              <w:jc w:val="center"/>
              <w:rPr>
                <w:rFonts w:ascii="Times New Roman" w:hAnsi="Times New Roman" w:eastAsia="仿宋_GB2312" w:cs="Times New Roman"/>
                <w:b/>
                <w:sz w:val="28"/>
                <w:szCs w:val="28"/>
                <w:shd w:val="clear" w:color="auto" w:fill="FFFFFF"/>
              </w:rPr>
            </w:pPr>
            <w:r>
              <w:rPr>
                <w:rFonts w:ascii="Times New Roman" w:hAnsi="Times New Roman" w:eastAsia="仿宋_GB2312" w:cs="Times New Roman"/>
                <w:b/>
                <w:sz w:val="28"/>
                <w:szCs w:val="28"/>
                <w:shd w:val="clear" w:color="auto" w:fill="FFFFFF"/>
              </w:rPr>
              <w:t>数量</w:t>
            </w:r>
            <w:r>
              <w:rPr>
                <w:rFonts w:hint="eastAsia" w:ascii="Times New Roman" w:hAnsi="Times New Roman" w:eastAsia="仿宋_GB2312" w:cs="Times New Roman"/>
                <w:b/>
                <w:sz w:val="28"/>
                <w:szCs w:val="28"/>
                <w:shd w:val="clear" w:color="auto" w:fill="FFFFFF"/>
              </w:rPr>
              <w:t>（项）</w:t>
            </w:r>
          </w:p>
        </w:tc>
        <w:tc>
          <w:tcPr>
            <w:tcW w:w="2539" w:type="dxa"/>
            <w:vAlign w:val="center"/>
          </w:tcPr>
          <w:p w14:paraId="16491C0F">
            <w:pPr>
              <w:shd w:val="clear" w:color="auto" w:fill="FFFFFF"/>
              <w:tabs>
                <w:tab w:val="left" w:pos="720"/>
              </w:tabs>
              <w:snapToGrid w:val="0"/>
              <w:spacing w:line="400" w:lineRule="exact"/>
              <w:jc w:val="center"/>
              <w:rPr>
                <w:rFonts w:ascii="Times New Roman" w:hAnsi="Times New Roman" w:eastAsia="仿宋_GB2312" w:cs="Times New Roman"/>
                <w:b/>
                <w:sz w:val="28"/>
                <w:szCs w:val="28"/>
                <w:shd w:val="clear" w:color="auto" w:fill="FFFFFF"/>
              </w:rPr>
            </w:pPr>
            <w:r>
              <w:rPr>
                <w:rFonts w:hint="eastAsia" w:ascii="Times New Roman" w:hAnsi="Times New Roman" w:eastAsia="仿宋_GB2312" w:cs="Times New Roman"/>
                <w:b/>
                <w:sz w:val="28"/>
                <w:szCs w:val="28"/>
                <w:shd w:val="clear" w:color="auto" w:fill="FFFFFF"/>
              </w:rPr>
              <w:t>预算金额（万元）</w:t>
            </w:r>
          </w:p>
        </w:tc>
      </w:tr>
      <w:tr w14:paraId="7794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vAlign w:val="center"/>
          </w:tcPr>
          <w:p w14:paraId="67AD8FBC">
            <w:pPr>
              <w:shd w:val="clear" w:color="auto" w:fill="FFFFFF"/>
              <w:tabs>
                <w:tab w:val="left" w:pos="720"/>
              </w:tabs>
              <w:snapToGrid w:val="0"/>
              <w:spacing w:line="400" w:lineRule="exact"/>
              <w:jc w:val="center"/>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1</w:t>
            </w:r>
          </w:p>
        </w:tc>
        <w:tc>
          <w:tcPr>
            <w:tcW w:w="3352" w:type="dxa"/>
            <w:vAlign w:val="center"/>
          </w:tcPr>
          <w:p w14:paraId="4F5088D8">
            <w:pPr>
              <w:shd w:val="clear" w:color="auto" w:fill="FFFFFF"/>
              <w:tabs>
                <w:tab w:val="left" w:pos="720"/>
              </w:tabs>
              <w:snapToGrid w:val="0"/>
              <w:spacing w:line="400" w:lineRule="exact"/>
              <w:jc w:val="center"/>
              <w:rPr>
                <w:rFonts w:hint="eastAsia" w:ascii="Times New Roman" w:hAnsi="Times New Roman" w:eastAsia="仿宋_GB2312" w:cs="Times New Roman"/>
                <w:sz w:val="28"/>
                <w:szCs w:val="28"/>
                <w:shd w:val="clear" w:color="auto" w:fill="FFFFFF"/>
                <w:lang w:eastAsia="zh-CN"/>
              </w:rPr>
            </w:pPr>
            <w:r>
              <w:rPr>
                <w:rFonts w:hint="eastAsia" w:ascii="仿宋_GB2312" w:hAnsi="仿宋_GB2312" w:eastAsia="仿宋_GB2312" w:cs="仿宋_GB2312"/>
                <w:sz w:val="32"/>
                <w:szCs w:val="32"/>
                <w:shd w:val="clear" w:color="auto" w:fill="FFFFFF"/>
                <w:lang w:eastAsia="zh-CN"/>
              </w:rPr>
              <w:t>小鼠肝脏多组学实验项目检测服务</w:t>
            </w:r>
          </w:p>
        </w:tc>
        <w:tc>
          <w:tcPr>
            <w:tcW w:w="1680" w:type="dxa"/>
            <w:vAlign w:val="center"/>
          </w:tcPr>
          <w:p w14:paraId="0F507D0A">
            <w:pPr>
              <w:jc w:val="center"/>
              <w:rPr>
                <w:rFonts w:ascii="仿宋_GB2312" w:hAnsi="Times New Roman" w:eastAsia="仿宋_GB2312" w:cs="仿宋_GB2312"/>
                <w:sz w:val="36"/>
                <w:szCs w:val="36"/>
              </w:rPr>
            </w:pPr>
            <w:r>
              <w:rPr>
                <w:rFonts w:hint="eastAsia" w:ascii="仿宋_GB2312" w:hAnsi="Times New Roman" w:eastAsia="仿宋_GB2312" w:cs="仿宋_GB2312"/>
                <w:sz w:val="36"/>
                <w:szCs w:val="36"/>
              </w:rPr>
              <w:t>1</w:t>
            </w:r>
          </w:p>
        </w:tc>
        <w:tc>
          <w:tcPr>
            <w:tcW w:w="2539" w:type="dxa"/>
            <w:vAlign w:val="center"/>
          </w:tcPr>
          <w:p w14:paraId="5EC64969">
            <w:pPr>
              <w:jc w:val="center"/>
              <w:rPr>
                <w:rFonts w:ascii="Times New Roman" w:hAnsi="Times New Roman" w:eastAsia="仿宋_GB2312" w:cs="Times New Roman"/>
                <w:sz w:val="28"/>
                <w:szCs w:val="28"/>
                <w:shd w:val="clear" w:color="auto" w:fill="FFFFFF"/>
              </w:rPr>
            </w:pPr>
            <w:r>
              <w:rPr>
                <w:rFonts w:hint="eastAsia" w:ascii="仿宋_GB2312" w:hAnsi="仿宋_GB2312" w:eastAsia="仿宋_GB2312" w:cs="仿宋_GB2312"/>
                <w:sz w:val="32"/>
                <w:szCs w:val="32"/>
                <w:shd w:val="clear" w:color="auto" w:fill="FFFFFF"/>
              </w:rPr>
              <w:t>7</w:t>
            </w:r>
          </w:p>
        </w:tc>
      </w:tr>
    </w:tbl>
    <w:p w14:paraId="05C89608">
      <w:pPr>
        <w:shd w:val="clear" w:color="auto" w:fill="FFFFFF"/>
        <w:tabs>
          <w:tab w:val="left" w:pos="720"/>
          <w:tab w:val="left" w:pos="900"/>
        </w:tabs>
        <w:snapToGrid w:val="0"/>
        <w:spacing w:line="560" w:lineRule="exact"/>
        <w:ind w:firstLine="640" w:firstLineChars="200"/>
        <w:rPr>
          <w:rFonts w:ascii="Times New Roman" w:hAnsi="Times New Roman" w:eastAsia="黑体" w:cs="Times New Roman"/>
          <w:sz w:val="32"/>
          <w:szCs w:val="32"/>
          <w:shd w:val="clear" w:color="auto" w:fill="FFFFFF"/>
        </w:rPr>
      </w:pPr>
      <w:r>
        <w:rPr>
          <w:rFonts w:hint="eastAsia" w:ascii="Times New Roman" w:hAnsi="Times New Roman" w:eastAsia="黑体" w:cs="Times New Roman"/>
          <w:sz w:val="32"/>
          <w:szCs w:val="32"/>
          <w:shd w:val="clear" w:color="auto" w:fill="FFFFFF"/>
        </w:rPr>
        <w:t>二</w:t>
      </w:r>
      <w:r>
        <w:rPr>
          <w:rFonts w:ascii="Times New Roman" w:hAnsi="Times New Roman" w:eastAsia="黑体" w:cs="Times New Roman"/>
          <w:sz w:val="32"/>
          <w:szCs w:val="32"/>
          <w:shd w:val="clear" w:color="auto" w:fill="FFFFFF"/>
        </w:rPr>
        <w:t>、</w:t>
      </w:r>
      <w:r>
        <w:rPr>
          <w:rFonts w:hint="eastAsia" w:ascii="Times New Roman" w:hAnsi="Times New Roman" w:eastAsia="黑体" w:cs="Times New Roman"/>
          <w:sz w:val="32"/>
          <w:szCs w:val="32"/>
          <w:shd w:val="clear" w:color="auto" w:fill="FFFFFF"/>
        </w:rPr>
        <w:t>技术、服务</w:t>
      </w:r>
      <w:r>
        <w:rPr>
          <w:rFonts w:ascii="Times New Roman" w:hAnsi="Times New Roman" w:eastAsia="黑体" w:cs="Times New Roman"/>
          <w:sz w:val="32"/>
          <w:szCs w:val="32"/>
          <w:shd w:val="clear" w:color="auto" w:fill="FFFFFF"/>
        </w:rPr>
        <w:t>要求</w:t>
      </w:r>
    </w:p>
    <w:p w14:paraId="6091E55B">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（一）服务内容：</w:t>
      </w:r>
    </w:p>
    <w:tbl>
      <w:tblPr>
        <w:tblStyle w:val="4"/>
        <w:tblpPr w:leftFromText="180" w:rightFromText="180" w:vertAnchor="text" w:horzAnchor="margin" w:tblpY="141"/>
        <w:tblOverlap w:val="never"/>
        <w:tblW w:w="8960" w:type="dxa"/>
        <w:tblInd w:w="0" w:type="dxa"/>
        <w:tblLayout w:type="fixed"/>
        <w:tblCellMar>
          <w:top w:w="0" w:type="dxa"/>
          <w:left w:w="108" w:type="dxa"/>
          <w:bottom w:w="0" w:type="dxa"/>
          <w:right w:w="108" w:type="dxa"/>
        </w:tblCellMar>
      </w:tblPr>
      <w:tblGrid>
        <w:gridCol w:w="465"/>
        <w:gridCol w:w="744"/>
        <w:gridCol w:w="5146"/>
        <w:gridCol w:w="654"/>
        <w:gridCol w:w="1051"/>
        <w:gridCol w:w="900"/>
      </w:tblGrid>
      <w:tr w14:paraId="07ED6668">
        <w:tblPrEx>
          <w:tblCellMar>
            <w:top w:w="0" w:type="dxa"/>
            <w:left w:w="108" w:type="dxa"/>
            <w:bottom w:w="0" w:type="dxa"/>
            <w:right w:w="108" w:type="dxa"/>
          </w:tblCellMar>
        </w:tblPrEx>
        <w:trPr>
          <w:trHeight w:val="284" w:hRule="atLeast"/>
        </w:trPr>
        <w:tc>
          <w:tcPr>
            <w:tcW w:w="465" w:type="dxa"/>
            <w:tcBorders>
              <w:top w:val="single" w:color="auto" w:sz="4" w:space="0"/>
              <w:left w:val="single" w:color="auto" w:sz="4" w:space="0"/>
              <w:bottom w:val="single" w:color="auto" w:sz="4" w:space="0"/>
              <w:right w:val="single" w:color="auto" w:sz="4" w:space="0"/>
            </w:tcBorders>
            <w:vAlign w:val="center"/>
          </w:tcPr>
          <w:p w14:paraId="5FC1806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744" w:type="dxa"/>
            <w:tcBorders>
              <w:top w:val="single" w:color="auto" w:sz="4" w:space="0"/>
              <w:left w:val="single" w:color="auto" w:sz="4" w:space="0"/>
              <w:bottom w:val="single" w:color="auto" w:sz="4" w:space="0"/>
              <w:right w:val="single" w:color="auto" w:sz="4" w:space="0"/>
            </w:tcBorders>
            <w:vAlign w:val="center"/>
          </w:tcPr>
          <w:p w14:paraId="32790E8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实验项目名称</w:t>
            </w:r>
          </w:p>
        </w:tc>
        <w:tc>
          <w:tcPr>
            <w:tcW w:w="5146" w:type="dxa"/>
            <w:tcBorders>
              <w:top w:val="single" w:color="auto" w:sz="4" w:space="0"/>
              <w:left w:val="nil"/>
              <w:bottom w:val="single" w:color="auto" w:sz="4" w:space="0"/>
              <w:right w:val="single" w:color="auto" w:sz="4" w:space="0"/>
            </w:tcBorders>
            <w:vAlign w:val="center"/>
          </w:tcPr>
          <w:p w14:paraId="2C439936">
            <w:pPr>
              <w:widowControl/>
              <w:jc w:val="center"/>
              <w:rPr>
                <w:rFonts w:hint="eastAsia" w:ascii="仿宋_GB2312" w:hAnsi="仿宋_GB2312" w:eastAsia="仿宋_GB2312" w:cs="仿宋_GB2312"/>
                <w:sz w:val="24"/>
                <w:szCs w:val="24"/>
              </w:rPr>
            </w:pPr>
            <w:r>
              <w:rPr>
                <w:rFonts w:ascii="仿宋_GB2312" w:hAnsi="仿宋_GB2312" w:eastAsia="仿宋_GB2312" w:cs="仿宋_GB2312"/>
                <w:sz w:val="24"/>
                <w:szCs w:val="24"/>
              </w:rPr>
              <w:t>实验项目介绍</w:t>
            </w:r>
          </w:p>
        </w:tc>
        <w:tc>
          <w:tcPr>
            <w:tcW w:w="654" w:type="dxa"/>
            <w:tcBorders>
              <w:top w:val="single" w:color="auto" w:sz="4" w:space="0"/>
              <w:left w:val="nil"/>
              <w:bottom w:val="single" w:color="auto" w:sz="4" w:space="0"/>
              <w:right w:val="single" w:color="auto" w:sz="4" w:space="0"/>
            </w:tcBorders>
            <w:vAlign w:val="center"/>
          </w:tcPr>
          <w:p w14:paraId="7356E10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检测单位</w:t>
            </w:r>
          </w:p>
        </w:tc>
        <w:tc>
          <w:tcPr>
            <w:tcW w:w="1051" w:type="dxa"/>
            <w:tcBorders>
              <w:top w:val="single" w:color="auto" w:sz="4" w:space="0"/>
              <w:left w:val="single" w:color="auto" w:sz="4" w:space="0"/>
              <w:bottom w:val="single" w:color="auto" w:sz="4" w:space="0"/>
              <w:right w:val="single" w:color="auto" w:sz="4" w:space="0"/>
            </w:tcBorders>
            <w:vAlign w:val="center"/>
          </w:tcPr>
          <w:p w14:paraId="7625186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检测</w:t>
            </w:r>
          </w:p>
          <w:p w14:paraId="4AD1DF7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900" w:type="dxa"/>
            <w:tcBorders>
              <w:top w:val="single" w:color="auto" w:sz="4" w:space="0"/>
              <w:left w:val="nil"/>
              <w:bottom w:val="single" w:color="auto" w:sz="4" w:space="0"/>
              <w:right w:val="single" w:color="auto" w:sz="4" w:space="0"/>
            </w:tcBorders>
            <w:vAlign w:val="center"/>
          </w:tcPr>
          <w:p w14:paraId="6A074FDF">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检测服务最高单价限价（元）</w:t>
            </w:r>
          </w:p>
        </w:tc>
      </w:tr>
      <w:tr w14:paraId="1C6880D8">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78025D1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44" w:type="dxa"/>
            <w:tcBorders>
              <w:top w:val="nil"/>
              <w:left w:val="single" w:color="auto" w:sz="4" w:space="0"/>
              <w:bottom w:val="single" w:color="auto" w:sz="4" w:space="0"/>
              <w:right w:val="single" w:color="auto" w:sz="4" w:space="0"/>
            </w:tcBorders>
            <w:vAlign w:val="center"/>
          </w:tcPr>
          <w:p w14:paraId="4C89BFF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普通转录组学</w:t>
            </w:r>
          </w:p>
        </w:tc>
        <w:tc>
          <w:tcPr>
            <w:tcW w:w="5146" w:type="dxa"/>
            <w:tcBorders>
              <w:top w:val="nil"/>
              <w:left w:val="nil"/>
              <w:bottom w:val="single" w:color="auto" w:sz="4" w:space="0"/>
              <w:right w:val="single" w:color="auto" w:sz="4" w:space="0"/>
            </w:tcBorders>
            <w:vAlign w:val="center"/>
          </w:tcPr>
          <w:p w14:paraId="0F186244">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转录组测序分析（Transcriptome Sequencing and Analysis）是应用二代高通量测序技术平台，结合生物信息学分析方法，全面快速地获得某一物种特定细胞或组织在某一状态下或不同条件下的几乎所有的转录本及基因序列；分析获得基因表达水平、基因功能、基因结构、可变剪切和新转录本等信息，揭示分子调控机理。</w:t>
            </w:r>
          </w:p>
        </w:tc>
        <w:tc>
          <w:tcPr>
            <w:tcW w:w="654" w:type="dxa"/>
            <w:vMerge w:val="restart"/>
            <w:tcBorders>
              <w:top w:val="single" w:color="auto" w:sz="4" w:space="0"/>
              <w:left w:val="nil"/>
              <w:right w:val="single" w:color="auto" w:sz="4" w:space="0"/>
            </w:tcBorders>
            <w:vAlign w:val="center"/>
          </w:tcPr>
          <w:p w14:paraId="5C0A8FF7">
            <w:pPr>
              <w:widowControl/>
              <w:tabs>
                <w:tab w:val="left" w:pos="233"/>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例</w:t>
            </w:r>
          </w:p>
        </w:tc>
        <w:tc>
          <w:tcPr>
            <w:tcW w:w="1051" w:type="dxa"/>
            <w:vMerge w:val="restart"/>
            <w:tcBorders>
              <w:top w:val="single" w:color="auto" w:sz="4" w:space="0"/>
              <w:left w:val="single" w:color="auto" w:sz="4" w:space="0"/>
              <w:right w:val="single" w:color="auto" w:sz="4" w:space="0"/>
            </w:tcBorders>
            <w:vAlign w:val="center"/>
          </w:tcPr>
          <w:p w14:paraId="270CCAF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按实际检测数量据实结算，采购总金额不超过7万元，达到该限额，采购合同自行终止</w:t>
            </w:r>
          </w:p>
        </w:tc>
        <w:tc>
          <w:tcPr>
            <w:tcW w:w="900" w:type="dxa"/>
            <w:tcBorders>
              <w:top w:val="nil"/>
              <w:left w:val="nil"/>
              <w:bottom w:val="single" w:color="auto" w:sz="4" w:space="0"/>
              <w:right w:val="single" w:color="auto" w:sz="4" w:space="0"/>
            </w:tcBorders>
            <w:vAlign w:val="center"/>
          </w:tcPr>
          <w:p w14:paraId="26042D2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w:t>
            </w:r>
          </w:p>
        </w:tc>
      </w:tr>
      <w:tr w14:paraId="0D854A67">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2404086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44" w:type="dxa"/>
            <w:tcBorders>
              <w:top w:val="nil"/>
              <w:left w:val="single" w:color="auto" w:sz="4" w:space="0"/>
              <w:bottom w:val="single" w:color="auto" w:sz="4" w:space="0"/>
              <w:right w:val="single" w:color="auto" w:sz="4" w:space="0"/>
            </w:tcBorders>
            <w:vAlign w:val="center"/>
          </w:tcPr>
          <w:p w14:paraId="44A93A40">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非靶向代谢组学</w:t>
            </w:r>
          </w:p>
        </w:tc>
        <w:tc>
          <w:tcPr>
            <w:tcW w:w="5146" w:type="dxa"/>
            <w:tcBorders>
              <w:top w:val="nil"/>
              <w:left w:val="nil"/>
              <w:bottom w:val="single" w:color="auto" w:sz="4" w:space="0"/>
              <w:right w:val="single" w:color="auto" w:sz="4" w:space="0"/>
            </w:tcBorders>
            <w:vAlign w:val="center"/>
          </w:tcPr>
          <w:p w14:paraId="379ADB1A">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非靶向代谢组学采用LC-MS/MS技术，无偏向性的检测细胞、组织、器官或者生物体内受到刺激或扰动前后所有小分子代谢物（主要是相对分子量1000Da以内的内源性小分子化合物）的动态变化，并通过生信分析筛选差异代谢物，对差异代谢物进行通路分析，揭示其变化的生理机制。</w:t>
            </w:r>
          </w:p>
        </w:tc>
        <w:tc>
          <w:tcPr>
            <w:tcW w:w="654" w:type="dxa"/>
            <w:vMerge w:val="continue"/>
            <w:tcBorders>
              <w:left w:val="nil"/>
              <w:right w:val="single" w:color="auto" w:sz="4" w:space="0"/>
            </w:tcBorders>
            <w:vAlign w:val="center"/>
          </w:tcPr>
          <w:p w14:paraId="1796D287">
            <w:pPr>
              <w:widowControl/>
              <w:jc w:val="center"/>
              <w:rPr>
                <w:rFonts w:hint="eastAsia" w:ascii="仿宋_GB2312" w:hAnsi="仿宋_GB2312" w:eastAsia="仿宋_GB2312" w:cs="仿宋_GB2312"/>
                <w:sz w:val="24"/>
                <w:szCs w:val="24"/>
              </w:rPr>
            </w:pPr>
          </w:p>
        </w:tc>
        <w:tc>
          <w:tcPr>
            <w:tcW w:w="1051" w:type="dxa"/>
            <w:vMerge w:val="continue"/>
            <w:tcBorders>
              <w:left w:val="single" w:color="auto" w:sz="4" w:space="0"/>
              <w:right w:val="single" w:color="auto" w:sz="4" w:space="0"/>
            </w:tcBorders>
            <w:vAlign w:val="center"/>
          </w:tcPr>
          <w:p w14:paraId="26E19AD2">
            <w:pPr>
              <w:widowControl/>
              <w:jc w:val="center"/>
              <w:rPr>
                <w:rFonts w:hint="eastAsia" w:ascii="仿宋_GB2312" w:hAnsi="仿宋_GB2312" w:eastAsia="仿宋_GB2312" w:cs="仿宋_GB2312"/>
                <w:sz w:val="24"/>
                <w:szCs w:val="24"/>
              </w:rPr>
            </w:pPr>
          </w:p>
        </w:tc>
        <w:tc>
          <w:tcPr>
            <w:tcW w:w="900" w:type="dxa"/>
            <w:tcBorders>
              <w:top w:val="nil"/>
              <w:left w:val="nil"/>
              <w:bottom w:val="single" w:color="auto" w:sz="4" w:space="0"/>
              <w:right w:val="single" w:color="auto" w:sz="4" w:space="0"/>
            </w:tcBorders>
            <w:vAlign w:val="center"/>
          </w:tcPr>
          <w:p w14:paraId="528C1B2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14:paraId="536019A0">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0D6D216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744" w:type="dxa"/>
            <w:tcBorders>
              <w:top w:val="nil"/>
              <w:left w:val="single" w:color="auto" w:sz="4" w:space="0"/>
              <w:bottom w:val="single" w:color="auto" w:sz="4" w:space="0"/>
              <w:right w:val="single" w:color="auto" w:sz="4" w:space="0"/>
            </w:tcBorders>
            <w:vAlign w:val="center"/>
          </w:tcPr>
          <w:p w14:paraId="41C72BE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Astral-DIA蛋白质组</w:t>
            </w:r>
          </w:p>
        </w:tc>
        <w:tc>
          <w:tcPr>
            <w:tcW w:w="5146" w:type="dxa"/>
            <w:tcBorders>
              <w:top w:val="nil"/>
              <w:left w:val="nil"/>
              <w:bottom w:val="single" w:color="auto" w:sz="4" w:space="0"/>
              <w:right w:val="single" w:color="auto" w:sz="4" w:space="0"/>
            </w:tcBorders>
            <w:vAlign w:val="center"/>
          </w:tcPr>
          <w:p w14:paraId="1CDA8386">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Astral质谱仪并采用DIA数据采集模式进行蛋白定性和定量。依据质荷比（m/z）将质谱整个扫描范围分为若干个窗口，然后对每个窗口中的所有母离子进行碎裂、检测，采集所有母离子的碎片离子信息进行蛋白定性和定量，具有全景式扫描、数据利用度高、重复性高、定量准确性高、数据可回溯等优势。</w:t>
            </w:r>
          </w:p>
        </w:tc>
        <w:tc>
          <w:tcPr>
            <w:tcW w:w="654" w:type="dxa"/>
            <w:vMerge w:val="continue"/>
            <w:tcBorders>
              <w:left w:val="nil"/>
              <w:bottom w:val="single" w:color="auto" w:sz="4" w:space="0"/>
              <w:right w:val="single" w:color="auto" w:sz="4" w:space="0"/>
            </w:tcBorders>
            <w:vAlign w:val="center"/>
          </w:tcPr>
          <w:p w14:paraId="7EAB26BA">
            <w:pPr>
              <w:widowControl/>
              <w:jc w:val="center"/>
              <w:rPr>
                <w:rFonts w:hint="eastAsia" w:ascii="仿宋_GB2312" w:hAnsi="仿宋_GB2312" w:eastAsia="仿宋_GB2312" w:cs="仿宋_GB2312"/>
                <w:sz w:val="24"/>
                <w:szCs w:val="24"/>
              </w:rPr>
            </w:pPr>
          </w:p>
        </w:tc>
        <w:tc>
          <w:tcPr>
            <w:tcW w:w="1051" w:type="dxa"/>
            <w:vMerge w:val="continue"/>
            <w:tcBorders>
              <w:left w:val="single" w:color="auto" w:sz="4" w:space="0"/>
              <w:bottom w:val="single" w:color="auto" w:sz="4" w:space="0"/>
              <w:right w:val="single" w:color="auto" w:sz="4" w:space="0"/>
            </w:tcBorders>
            <w:vAlign w:val="center"/>
          </w:tcPr>
          <w:p w14:paraId="0FC8BB74">
            <w:pPr>
              <w:widowControl/>
              <w:jc w:val="center"/>
              <w:rPr>
                <w:rFonts w:hint="eastAsia" w:ascii="仿宋_GB2312" w:hAnsi="仿宋_GB2312" w:eastAsia="仿宋_GB2312" w:cs="仿宋_GB2312"/>
                <w:sz w:val="24"/>
                <w:szCs w:val="24"/>
              </w:rPr>
            </w:pPr>
          </w:p>
        </w:tc>
        <w:tc>
          <w:tcPr>
            <w:tcW w:w="900" w:type="dxa"/>
            <w:tcBorders>
              <w:top w:val="nil"/>
              <w:left w:val="nil"/>
              <w:bottom w:val="single" w:color="auto" w:sz="4" w:space="0"/>
              <w:right w:val="single" w:color="auto" w:sz="4" w:space="0"/>
            </w:tcBorders>
            <w:vAlign w:val="center"/>
          </w:tcPr>
          <w:p w14:paraId="066B5C3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850</w:t>
            </w:r>
          </w:p>
        </w:tc>
      </w:tr>
    </w:tbl>
    <w:p w14:paraId="4A40B087">
      <w:pPr>
        <w:rPr>
          <w:rFonts w:ascii="仿宋_GB2312" w:hAnsi="Times New Roman" w:eastAsia="仿宋_GB2312" w:cs="仿宋_GB2312"/>
          <w:sz w:val="32"/>
          <w:szCs w:val="32"/>
        </w:rPr>
      </w:pPr>
      <w:r>
        <w:rPr>
          <w:rFonts w:hint="eastAsia" w:ascii="仿宋_GB2312" w:hAnsi="Times New Roman" w:eastAsia="仿宋_GB2312" w:cs="仿宋_GB2312"/>
          <w:sz w:val="32"/>
          <w:szCs w:val="32"/>
        </w:rPr>
        <w:t>通过对肝纤维化小鼠模型药物治疗后肝脏的转录组、蛋白组、非靶代谢和靶向代谢的多组学研究，整合转录组、蛋白组和代谢组等多组学数据，构建更全面、更准确的生物分子网络，为采购人深入理解生物系统的复杂机制提供有力支持，深入了解基因表达、蛋白质功能和代谢通路的变化，通过多组学的检测和分析，全面深入揭示研究药物对小鼠肺纤维化的逆转能力，药物的治疗靶点和作用机制。</w:t>
      </w:r>
    </w:p>
    <w:p w14:paraId="7F54CB59">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（二）技术要求：</w:t>
      </w:r>
    </w:p>
    <w:tbl>
      <w:tblPr>
        <w:tblStyle w:val="4"/>
        <w:tblW w:w="0" w:type="auto"/>
        <w:jc w:val="center"/>
        <w:tblLayout w:type="fixed"/>
        <w:tblCellMar>
          <w:top w:w="0" w:type="dxa"/>
          <w:left w:w="108" w:type="dxa"/>
          <w:bottom w:w="0" w:type="dxa"/>
          <w:right w:w="108" w:type="dxa"/>
        </w:tblCellMar>
      </w:tblPr>
      <w:tblGrid>
        <w:gridCol w:w="957"/>
        <w:gridCol w:w="8102"/>
      </w:tblGrid>
      <w:tr w14:paraId="38B2DA0D">
        <w:tblPrEx>
          <w:tblCellMar>
            <w:top w:w="0" w:type="dxa"/>
            <w:left w:w="108" w:type="dxa"/>
            <w:bottom w:w="0" w:type="dxa"/>
            <w:right w:w="108" w:type="dxa"/>
          </w:tblCellMar>
        </w:tblPrEx>
        <w:trPr>
          <w:trHeight w:val="28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435A49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实验项目名称</w:t>
            </w:r>
          </w:p>
        </w:tc>
        <w:tc>
          <w:tcPr>
            <w:tcW w:w="8102" w:type="dxa"/>
            <w:tcBorders>
              <w:top w:val="single" w:color="auto" w:sz="4" w:space="0"/>
              <w:left w:val="nil"/>
              <w:bottom w:val="single" w:color="auto" w:sz="4" w:space="0"/>
              <w:right w:val="single" w:color="auto" w:sz="4" w:space="0"/>
            </w:tcBorders>
            <w:vAlign w:val="center"/>
          </w:tcPr>
          <w:p w14:paraId="31FD16D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检测服务技术要求</w:t>
            </w:r>
          </w:p>
        </w:tc>
      </w:tr>
      <w:tr w14:paraId="200E7BBD">
        <w:tblPrEx>
          <w:tblCellMar>
            <w:top w:w="0" w:type="dxa"/>
            <w:left w:w="108" w:type="dxa"/>
            <w:bottom w:w="0" w:type="dxa"/>
            <w:right w:w="108" w:type="dxa"/>
          </w:tblCellMar>
        </w:tblPrEx>
        <w:trPr>
          <w:trHeight w:val="284" w:hRule="atLeast"/>
          <w:jc w:val="center"/>
        </w:trPr>
        <w:tc>
          <w:tcPr>
            <w:tcW w:w="957" w:type="dxa"/>
            <w:tcBorders>
              <w:top w:val="nil"/>
              <w:left w:val="single" w:color="auto" w:sz="4" w:space="0"/>
              <w:bottom w:val="single" w:color="auto" w:sz="4" w:space="0"/>
              <w:right w:val="single" w:color="auto" w:sz="4" w:space="0"/>
            </w:tcBorders>
            <w:vAlign w:val="center"/>
          </w:tcPr>
          <w:p w14:paraId="671E9A0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普通转录组学</w:t>
            </w:r>
          </w:p>
        </w:tc>
        <w:tc>
          <w:tcPr>
            <w:tcW w:w="8102" w:type="dxa"/>
            <w:tcBorders>
              <w:top w:val="nil"/>
              <w:left w:val="nil"/>
              <w:bottom w:val="single" w:color="auto" w:sz="4" w:space="0"/>
              <w:right w:val="single" w:color="auto" w:sz="4" w:space="0"/>
            </w:tcBorders>
            <w:vAlign w:val="center"/>
          </w:tcPr>
          <w:p w14:paraId="566AC057">
            <w:pPr>
              <w:widowControl/>
              <w:numPr>
                <w:ilvl w:val="0"/>
                <w:numId w:val="1"/>
              </w:numPr>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样本质检</w:t>
            </w:r>
          </w:p>
          <w:p w14:paraId="199762FD">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投标人需具备上门取样和寄送的服务，对所提供的样本进行总RNA提取，并按照严格的质检标准质检，保证建库RNA样本的质量；质检仪器包括但不限于：</w:t>
            </w:r>
          </w:p>
          <w:p w14:paraId="18717CA1">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（1）分光光度计检测样品纯度。</w:t>
            </w:r>
          </w:p>
          <w:p w14:paraId="4935DD47">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（2）RNA Nano 6000 Assay Kit检测RNA样品的完整性。</w:t>
            </w:r>
          </w:p>
          <w:p w14:paraId="4E660196">
            <w:pPr>
              <w:widowControl/>
              <w:numPr>
                <w:ilvl w:val="0"/>
                <w:numId w:val="1"/>
              </w:numPr>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样本质控要求</w:t>
            </w:r>
          </w:p>
          <w:p w14:paraId="0D40E9C6">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（1）RNA提取量不低于100ng。</w:t>
            </w:r>
          </w:p>
          <w:p w14:paraId="104414C5">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（2）浓度不低于50ng/µl。</w:t>
            </w:r>
          </w:p>
          <w:p w14:paraId="66141B04">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（3）RNA的RIN≥4。</w:t>
            </w:r>
          </w:p>
          <w:p w14:paraId="0812E037">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rPr>
              <w:t>3、文库构建要求</w:t>
            </w:r>
          </w:p>
          <w:p w14:paraId="3E5C06DC">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（1）投标人针对合格后的RNA样品，富集mRNA，严格按照建库试剂盒进行转录组文库构建；单次实验可处理1-10个样本。</w:t>
            </w:r>
          </w:p>
          <w:p w14:paraId="232F6D67">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（2）所用建库试剂必须是原装。试剂必须在质保期内。</w:t>
            </w:r>
          </w:p>
          <w:p w14:paraId="33D692E7">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4、样本测序</w:t>
            </w:r>
          </w:p>
          <w:p w14:paraId="548D9D18">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（1）投标人需至少具备两种及以上的测序平台；测序策略满足PE150。</w:t>
            </w:r>
          </w:p>
          <w:p w14:paraId="1F77BF2C">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（2）每个样本数据量应≥6G raw data。</w:t>
            </w:r>
          </w:p>
          <w:p w14:paraId="28446653">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（3）数据质量要求Q30≥85%,碱基类型分布均匀，无GC分离。</w:t>
            </w:r>
          </w:p>
          <w:p w14:paraId="6ADF3519">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5、信息分析</w:t>
            </w:r>
          </w:p>
          <w:p w14:paraId="65553CBC">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投标人需提供官方软件标准分析内容，包括但不限于以下内容：</w:t>
            </w:r>
          </w:p>
          <w:p w14:paraId="112A8E7F">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（1）数据过滤：对原始数据进行去除接头、污染序列及低质量reads的处理。</w:t>
            </w:r>
          </w:p>
          <w:p w14:paraId="4C9C4DA9">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（2）测序数据质量评估：测序质量分布、碱基比例分布。</w:t>
            </w:r>
          </w:p>
          <w:p w14:paraId="79557FAB">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（3）比对分析：比对率分析、基因区域分布。</w:t>
            </w:r>
          </w:p>
          <w:p w14:paraId="5044869C">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（4）基因表达量分析和基因差异表达分析。</w:t>
            </w:r>
          </w:p>
          <w:p w14:paraId="644EF380">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（5）蛋白质互作网络分析。</w:t>
            </w:r>
          </w:p>
          <w:p w14:paraId="357CB5F4">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en-US"/>
              </w:rPr>
              <w:t>功能富集分析：GO和KEGG</w:t>
            </w:r>
            <w:r>
              <w:rPr>
                <w:rFonts w:hint="eastAsia" w:ascii="仿宋_GB2312" w:hAnsi="仿宋_GB2312" w:eastAsia="仿宋_GB2312" w:cs="仿宋_GB2312"/>
                <w:sz w:val="24"/>
                <w:szCs w:val="24"/>
              </w:rPr>
              <w:t>。</w:t>
            </w:r>
          </w:p>
          <w:p w14:paraId="32096B32">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（7）可变剪切分析和差异可变剪切分析。</w:t>
            </w:r>
          </w:p>
          <w:p w14:paraId="2E9C4413">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6、项目交付</w:t>
            </w:r>
          </w:p>
          <w:p w14:paraId="136302BA">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投标人需提供全部样本完整的文库质控报告、测序原始数据、标准分析结果文件报告，包括不限于实验流程，实验过程中用到的仪器、试剂、耗材及生产厂商等，以上文件通过云交付或者硬盘拷贝交付。</w:t>
            </w:r>
          </w:p>
          <w:p w14:paraId="4BFFBA91">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7、服务时间</w:t>
            </w:r>
          </w:p>
          <w:p w14:paraId="37448546">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投标人需在样品送达后30个自然日内完成全部指定样本测序及数据分析工作，并生成数据统计报告。要求投标人在数据交付前按照项目号整理数据交付。</w:t>
            </w:r>
          </w:p>
          <w:p w14:paraId="2F7611D3">
            <w:pPr>
              <w:widowControl/>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8、</w:t>
            </w:r>
            <w:r>
              <w:rPr>
                <w:rFonts w:hint="eastAsia" w:ascii="仿宋_GB2312" w:hAnsi="仿宋_GB2312" w:eastAsia="仿宋_GB2312" w:cs="仿宋_GB2312"/>
                <w:b/>
                <w:bCs/>
                <w:kern w:val="0"/>
                <w:sz w:val="24"/>
                <w:szCs w:val="24"/>
              </w:rPr>
              <w:t>售后要求</w:t>
            </w:r>
          </w:p>
          <w:p w14:paraId="6AD28029">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（1）投标人需提供云平台分析服务，可支持客户自主完成部分分析。</w:t>
            </w:r>
          </w:p>
          <w:p w14:paraId="188E4C3A">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kern w:val="0"/>
                <w:sz w:val="24"/>
                <w:szCs w:val="24"/>
              </w:rPr>
              <w:t>（2）售后周期为完成项目后的1年内，期间持续支持本项目分析及相应图表制作和调整等工作。</w:t>
            </w:r>
          </w:p>
          <w:p w14:paraId="429E2FEE">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9、其他要求</w:t>
            </w:r>
          </w:p>
          <w:p w14:paraId="3FDA7D52">
            <w:pPr>
              <w:tabs>
                <w:tab w:val="left" w:pos="567"/>
              </w:tabs>
              <w:spacing w:before="12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样本寄送：采购人按照投标人要求，将待检测样品送至投标人指定地点（投标人也可提供上门取样）。如剩余样品需要返样，则由投标人将样品送至采购人指定地点。</w:t>
            </w:r>
            <w:r>
              <w:rPr>
                <w:rFonts w:ascii="仿宋_GB2312" w:hAnsi="仿宋_GB2312" w:eastAsia="仿宋_GB2312" w:cs="仿宋_GB2312"/>
                <w:kern w:val="0"/>
                <w:sz w:val="24"/>
                <w:szCs w:val="24"/>
              </w:rPr>
              <w:t>以上服务所需费用均包含在本项目报价内。</w:t>
            </w:r>
          </w:p>
        </w:tc>
      </w:tr>
      <w:tr w14:paraId="1376F535">
        <w:tblPrEx>
          <w:tblCellMar>
            <w:top w:w="0" w:type="dxa"/>
            <w:left w:w="108" w:type="dxa"/>
            <w:bottom w:w="0" w:type="dxa"/>
            <w:right w:w="108" w:type="dxa"/>
          </w:tblCellMar>
        </w:tblPrEx>
        <w:trPr>
          <w:trHeight w:val="284" w:hRule="atLeast"/>
          <w:jc w:val="center"/>
        </w:trPr>
        <w:tc>
          <w:tcPr>
            <w:tcW w:w="957" w:type="dxa"/>
            <w:tcBorders>
              <w:top w:val="nil"/>
              <w:left w:val="single" w:color="auto" w:sz="4" w:space="0"/>
              <w:bottom w:val="single" w:color="auto" w:sz="4" w:space="0"/>
              <w:right w:val="single" w:color="auto" w:sz="4" w:space="0"/>
            </w:tcBorders>
            <w:vAlign w:val="center"/>
          </w:tcPr>
          <w:p w14:paraId="0B80292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非靶向代谢组学</w:t>
            </w:r>
          </w:p>
        </w:tc>
        <w:tc>
          <w:tcPr>
            <w:tcW w:w="8102" w:type="dxa"/>
            <w:tcBorders>
              <w:top w:val="nil"/>
              <w:left w:val="nil"/>
              <w:bottom w:val="single" w:color="auto" w:sz="4" w:space="0"/>
              <w:right w:val="single" w:color="auto" w:sz="4" w:space="0"/>
            </w:tcBorders>
            <w:vAlign w:val="center"/>
          </w:tcPr>
          <w:p w14:paraId="15241BE9">
            <w:pPr>
              <w:widowControl/>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1、样本质控</w:t>
            </w:r>
          </w:p>
          <w:p w14:paraId="1E5457E2">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实验需在具有ISO 9001质量管理体系认证实验室操作。项目过程质控：要求包含Solvent质控、QC混样质控、混标质控、内标质控、QC混样TIC重叠图、Blank质控、QC混样的二维PCA质控、QC混样的CV质控中至少5项。</w:t>
            </w:r>
          </w:p>
          <w:p w14:paraId="7363F859">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（1）在仪器分析的过程中，至多每10个检测分析样本中插入一个质控样本，以监测分析过程的重复性。</w:t>
            </w:r>
          </w:p>
          <w:p w14:paraId="4F0CD998">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（2）QC样本中加入了已知浓度的内标，内标数为20个。</w:t>
            </w:r>
          </w:p>
          <w:p w14:paraId="6ED98626">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（3）QC样本CV值小于0.5的物质占比高于85%;QC样本CV值小于0.3的物质占比高于75%。</w:t>
            </w:r>
          </w:p>
          <w:p w14:paraId="334D09B2">
            <w:pPr>
              <w:adjustRightInd w:val="0"/>
              <w:snapToGrid w:val="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2、数据预处理</w:t>
            </w:r>
          </w:p>
          <w:p w14:paraId="07DC4E0D">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谱下机原始数据经过ProteoWizard转换为mzML格式，采用XCMS程序进行峰提取对齐，保留时间校正。对各组样本中缺失率&gt;50%的峰进行过滤，并对空白值进行KNN填充+1/5最小值（空白值&gt;50%采用1/5最小值填充，空白值&lt;50%采用KNN填充），采用SVR方法对峰面积进行校正。校正筛选后的峰通过检索实验室自建数据库、整合公共库以及预测库进行代谢物鉴定。最后提取鉴定综合打分0.5分以上且QC样本CV值小于0.3的物质，再进行正负模式合并（保留定性等级最高且CV值最小的物质）。鉴定物质注释全面，除英文名称外，还提供中文名称、CAS、Pubchem CID、HMDB、Metlin以及cpd_ID。</w:t>
            </w:r>
          </w:p>
          <w:p w14:paraId="192F4C37">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3、数据分析</w:t>
            </w:r>
          </w:p>
          <w:p w14:paraId="47A0B6F6">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（1）实验质控分析（TIC重叠图）。</w:t>
            </w:r>
          </w:p>
          <w:p w14:paraId="5F056DEA">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（2）主成分分析（PCA得分图）、分组主成分分析（PCA得分图）。</w:t>
            </w:r>
          </w:p>
          <w:p w14:paraId="640D4711">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（3）代谢物定性定量分析、代谢物分类分析。</w:t>
            </w:r>
          </w:p>
          <w:p w14:paraId="6505F6E6">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（4）正交偏最小二乘法判别分析（OPLS-DA）（OPLS-DA得分图、OPLS-DA验证图）。</w:t>
            </w:r>
          </w:p>
          <w:p w14:paraId="5FC406EA">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（5）差异代谢物筛选（火山图），差异代谢物溯源。</w:t>
            </w:r>
          </w:p>
          <w:p w14:paraId="24DD2B00">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（6）差异代谢物生物信息学分析(包括聚类分析、相关性分析、相关性网络图、VIP值图、条形图、雷达图、小提琴图、散点图、Z值图、样本层次聚类树、和弦图、K-Means分析、韦恩图)。</w:t>
            </w:r>
          </w:p>
          <w:p w14:paraId="3BA6035E">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（7）差异代谢物KEGG注释（差异代谢物功能注释、差异代谢物KEGG富集分析）。</w:t>
            </w:r>
          </w:p>
          <w:p w14:paraId="4257236F">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（8）HMDB功能注释及富集分析（差异代谢物HMDB通路图、差异代谢物HMDB富集图）。</w:t>
            </w:r>
          </w:p>
          <w:p w14:paraId="7FDB2DAF">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（9）MSEA富集分析（MSEA富集分析图）。</w:t>
            </w:r>
          </w:p>
          <w:p w14:paraId="21F1E1F7">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（10）差异代谢物关联疾病信息分析。</w:t>
            </w:r>
          </w:p>
          <w:p w14:paraId="0E0C4F30">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4、项目交付</w:t>
            </w:r>
          </w:p>
          <w:p w14:paraId="7A9F3709">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投标人需提供全部样本完整的文库质控报告、测序原始数据、标准分析结果文件报告，包括不限于实验流程，实验过程中用到的仪器、试剂、耗材及生产厂商等，以上文件通过云交付或者硬盘拷贝交付。</w:t>
            </w:r>
          </w:p>
          <w:p w14:paraId="1A98452E">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5、服务时间</w:t>
            </w:r>
          </w:p>
          <w:p w14:paraId="2241CAED">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投标人需在样品送达后30个自然日内完成全部指定样本检测及数据分析工作，并生成数据统计报告。要求投标人在数据交付前按照项目号整理数据交付。</w:t>
            </w:r>
          </w:p>
          <w:p w14:paraId="42AF6672">
            <w:pPr>
              <w:widowControl/>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b/>
                <w:bCs/>
                <w:kern w:val="0"/>
                <w:sz w:val="24"/>
                <w:szCs w:val="24"/>
              </w:rPr>
              <w:t>售后要求</w:t>
            </w:r>
          </w:p>
          <w:p w14:paraId="7E94D9B4">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（1）投标人需提供云平台分析服务，可支持客户自主完成部分分析。</w:t>
            </w:r>
          </w:p>
          <w:p w14:paraId="1345756D">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kern w:val="0"/>
                <w:sz w:val="24"/>
                <w:szCs w:val="24"/>
              </w:rPr>
              <w:t>（2）售后周期为完成项目后的1年内，期间持续支持本项目分析及相应图表制作和调整等工作。</w:t>
            </w:r>
          </w:p>
          <w:p w14:paraId="356B5AAA">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7、其他要求</w:t>
            </w:r>
          </w:p>
          <w:p w14:paraId="5B908C78">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样本寄送：</w:t>
            </w:r>
            <w:r>
              <w:rPr>
                <w:rFonts w:hint="eastAsia" w:ascii="仿宋_GB2312" w:hAnsi="仿宋_GB2312" w:eastAsia="仿宋_GB2312" w:cs="仿宋_GB2312"/>
                <w:kern w:val="0"/>
                <w:sz w:val="24"/>
                <w:szCs w:val="24"/>
              </w:rPr>
              <w:t>采购人按照投标人要求，将待检测样品送至投标人指定地点（投标人也可提供上门取样）。如剩余样品需要返样，则由投标人将样品送至采购人指定地点。</w:t>
            </w:r>
            <w:r>
              <w:rPr>
                <w:rFonts w:ascii="仿宋_GB2312" w:hAnsi="仿宋_GB2312" w:eastAsia="仿宋_GB2312" w:cs="仿宋_GB2312"/>
                <w:kern w:val="0"/>
                <w:sz w:val="24"/>
                <w:szCs w:val="24"/>
              </w:rPr>
              <w:t>以上服务所需费用均包含在本项目报价内。</w:t>
            </w:r>
          </w:p>
        </w:tc>
      </w:tr>
      <w:tr w14:paraId="58F2F402">
        <w:tblPrEx>
          <w:tblCellMar>
            <w:top w:w="0" w:type="dxa"/>
            <w:left w:w="108" w:type="dxa"/>
            <w:bottom w:w="0" w:type="dxa"/>
            <w:right w:w="108" w:type="dxa"/>
          </w:tblCellMar>
        </w:tblPrEx>
        <w:trPr>
          <w:trHeight w:val="28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844321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Astral-DIA蛋白质组</w:t>
            </w:r>
          </w:p>
        </w:tc>
        <w:tc>
          <w:tcPr>
            <w:tcW w:w="8102" w:type="dxa"/>
            <w:tcBorders>
              <w:top w:val="single" w:color="auto" w:sz="4" w:space="0"/>
              <w:left w:val="nil"/>
              <w:bottom w:val="single" w:color="auto" w:sz="4" w:space="0"/>
              <w:right w:val="single" w:color="auto" w:sz="4" w:space="0"/>
            </w:tcBorders>
            <w:vAlign w:val="center"/>
          </w:tcPr>
          <w:p w14:paraId="16F85F4A">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1、样本质检</w:t>
            </w:r>
          </w:p>
          <w:p w14:paraId="6D658247">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投标人需具备上门取样和寄送服务，对所提供的样本进行蛋白提取、蛋白酶解，并按照严格的质检标准质检，并反馈质检报告。</w:t>
            </w:r>
          </w:p>
          <w:p w14:paraId="2FC1F1F1">
            <w:pPr>
              <w:widowControl/>
              <w:numPr>
                <w:ilvl w:val="0"/>
                <w:numId w:val="2"/>
              </w:num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质谱检测</w:t>
            </w:r>
          </w:p>
          <w:p w14:paraId="3DC5683B">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要求基于Astral质谱仪并采用DIA数据采集模式,扫描时长不低于8min。</w:t>
            </w:r>
          </w:p>
          <w:p w14:paraId="37D3286D">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DIA分析采用纳升速Vanquish Neo系统(赛默飞)进行色谱分离，纳升级高效液相色谱分离后的样品用Orbitrap Astral高分辨质谱仪(Thermo Scientific)进行DIA(数据非依赖)质谱分析。检测模式:正离子，母离子扫描范围为380-980m/z，一级质谱分辨率为240000 at 200m/z，Normalized AGC Target为500%，Maximum IT为5ms。MS2采用DIA数据采集模式，设置299个扫描窗口，Isolation Window为2 Th，HCD Collision Energy为25%，Normalized AGC Target为500%，Maximum IT为3ms。</w:t>
            </w:r>
          </w:p>
          <w:p w14:paraId="132EE60D">
            <w:pPr>
              <w:widowControl/>
              <w:numPr>
                <w:ilvl w:val="0"/>
                <w:numId w:val="2"/>
              </w:num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数据分析</w:t>
            </w:r>
          </w:p>
          <w:p w14:paraId="13E7CE5C">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（1）蛋白质定性和定量。</w:t>
            </w:r>
          </w:p>
          <w:p w14:paraId="103D44C5">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（2）定量结果质量评估（样本间丰度值分布、PCA分析、相关性分析）。</w:t>
            </w:r>
          </w:p>
          <w:p w14:paraId="60BF48DA">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（3）蛋白质功能注释。</w:t>
            </w:r>
          </w:p>
          <w:p w14:paraId="3D5FA8E7">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（4）差异蛋白质筛选。</w:t>
            </w:r>
          </w:p>
          <w:p w14:paraId="3C7EA7A4">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（5）差异蛋白质生物信息学分析(火山图，差异蛋白质聚类热图，差异蛋白质韦恩图，差异蛋白质K-means分析）。</w:t>
            </w:r>
          </w:p>
          <w:p w14:paraId="62FEF2A4">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（6）差异表达蛋白质功能注释。</w:t>
            </w:r>
          </w:p>
          <w:p w14:paraId="6FE83C23">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（7）差异表达蛋白质功能富集分析。</w:t>
            </w:r>
          </w:p>
          <w:p w14:paraId="20E2022A">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（8）差异表达蛋白质互作网络。</w:t>
            </w:r>
          </w:p>
          <w:p w14:paraId="5B3A90B9">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（9）WPCNA分析。</w:t>
            </w:r>
          </w:p>
          <w:p w14:paraId="11C243C7">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4、项目交付</w:t>
            </w:r>
          </w:p>
          <w:p w14:paraId="08113A10">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投标人需提供全部样本完整的文库质控报告、测序原始数据、标准分析结果文件报告。包括不限于实验流程，实验过程中用到的仪器、试剂、耗材及生产厂商等；以上文件通过云交付或者硬盘拷贝交付。</w:t>
            </w:r>
          </w:p>
          <w:p w14:paraId="386A89C8">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5、服务时间</w:t>
            </w:r>
          </w:p>
          <w:p w14:paraId="74893B9F">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投标人需在样品送达后30个自然日内完成全部指定样本检测及数据分析工作，并生成数据统计报告。要求投标人在数据交付前按照项目号整理数据交付。</w:t>
            </w:r>
          </w:p>
          <w:p w14:paraId="2F32B29A">
            <w:pPr>
              <w:widowControl/>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b/>
                <w:bCs/>
                <w:kern w:val="0"/>
                <w:sz w:val="24"/>
                <w:szCs w:val="24"/>
              </w:rPr>
              <w:t>售后要求</w:t>
            </w:r>
          </w:p>
          <w:p w14:paraId="55F6BABE">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（1）投标人需提供云平台分析服务，可支持客户自主完成部分分析。</w:t>
            </w:r>
          </w:p>
          <w:p w14:paraId="31BAB3F8">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kern w:val="0"/>
                <w:sz w:val="24"/>
                <w:szCs w:val="24"/>
              </w:rPr>
              <w:t>（2）售后周期为完成项目后的1年内，期间持续支持本项目分析及相应图表制作和调整等工作。</w:t>
            </w:r>
          </w:p>
          <w:p w14:paraId="361431CD">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7、其他要求</w:t>
            </w:r>
          </w:p>
          <w:p w14:paraId="38FB0B27">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样本寄送：</w:t>
            </w:r>
            <w:r>
              <w:rPr>
                <w:rFonts w:hint="eastAsia" w:ascii="仿宋_GB2312" w:hAnsi="仿宋_GB2312" w:eastAsia="仿宋_GB2312" w:cs="仿宋_GB2312"/>
                <w:kern w:val="0"/>
                <w:sz w:val="24"/>
                <w:szCs w:val="24"/>
              </w:rPr>
              <w:t>采购人按照投标人要求，将待检测样品送至投标人指定地点（投标人也可提供上门取样）。如剩余样品需要返样，则由投标人将样品送至采购人指定地点。</w:t>
            </w:r>
            <w:r>
              <w:rPr>
                <w:rFonts w:ascii="仿宋_GB2312" w:hAnsi="仿宋_GB2312" w:eastAsia="仿宋_GB2312" w:cs="仿宋_GB2312"/>
                <w:kern w:val="0"/>
                <w:sz w:val="24"/>
                <w:szCs w:val="24"/>
              </w:rPr>
              <w:t>以上服务所需费用均包含在本项目报价内。</w:t>
            </w:r>
          </w:p>
        </w:tc>
      </w:tr>
    </w:tbl>
    <w:p w14:paraId="2D09EF8B">
      <w:pPr>
        <w:rPr>
          <w:rFonts w:ascii="Times New Roman" w:hAnsi="Times New Roman" w:eastAsia="宋体" w:cs="Times New Roman"/>
          <w:sz w:val="21"/>
          <w:szCs w:val="24"/>
        </w:rPr>
      </w:pPr>
    </w:p>
    <w:p w14:paraId="0DC3E640">
      <w:pPr>
        <w:numPr>
          <w:ilvl w:val="0"/>
          <w:numId w:val="3"/>
        </w:num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服务要求：</w:t>
      </w:r>
    </w:p>
    <w:p w14:paraId="38B196E1">
      <w:pPr>
        <w:ind w:firstLine="640" w:firstLineChars="200"/>
        <w:rPr>
          <w:rFonts w:ascii="Times New Roman" w:hAnsi="Times New Roman" w:eastAsia="黑体" w:cs="Times New Roman"/>
          <w:sz w:val="32"/>
          <w:szCs w:val="32"/>
          <w:shd w:val="clear" w:color="auto" w:fill="FFFFFF"/>
        </w:rPr>
      </w:pPr>
      <w:r>
        <w:rPr>
          <w:rFonts w:hint="eastAsia" w:ascii="仿宋_GB2312" w:hAnsi="Times New Roman" w:eastAsia="仿宋_GB2312" w:cs="仿宋_GB2312"/>
          <w:sz w:val="32"/>
          <w:szCs w:val="32"/>
        </w:rPr>
        <w:t>中标人在检测活动中对检测的信息进行保密，在没有获得采购人的书面同意前，不得向第三方透露检测的所有信息。</w:t>
      </w:r>
    </w:p>
    <w:p w14:paraId="327E84C9">
      <w:pPr>
        <w:shd w:val="clear" w:color="auto" w:fill="FFFFFF"/>
        <w:tabs>
          <w:tab w:val="left" w:pos="720"/>
          <w:tab w:val="left" w:pos="900"/>
        </w:tabs>
        <w:snapToGrid w:val="0"/>
        <w:spacing w:line="560" w:lineRule="exact"/>
        <w:ind w:firstLine="640" w:firstLineChars="200"/>
        <w:rPr>
          <w:rFonts w:ascii="Times New Roman" w:hAnsi="Times New Roman" w:eastAsia="黑体" w:cs="Times New Roman"/>
          <w:sz w:val="32"/>
          <w:szCs w:val="32"/>
          <w:shd w:val="clear" w:color="auto" w:fill="FFFFFF"/>
        </w:rPr>
      </w:pPr>
      <w:r>
        <w:rPr>
          <w:rFonts w:hint="eastAsia" w:ascii="Times New Roman" w:hAnsi="Times New Roman" w:eastAsia="黑体" w:cs="Times New Roman"/>
          <w:sz w:val="32"/>
          <w:szCs w:val="32"/>
          <w:shd w:val="clear" w:color="auto" w:fill="FFFFFF"/>
        </w:rPr>
        <w:t>三</w:t>
      </w:r>
      <w:r>
        <w:rPr>
          <w:rFonts w:ascii="Times New Roman" w:hAnsi="Times New Roman" w:eastAsia="黑体" w:cs="Times New Roman"/>
          <w:sz w:val="32"/>
          <w:szCs w:val="32"/>
          <w:shd w:val="clear" w:color="auto" w:fill="FFFFFF"/>
        </w:rPr>
        <w:t>、商务要求</w:t>
      </w:r>
    </w:p>
    <w:p w14:paraId="29850C6E">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shd w:val="clear" w:color="auto" w:fill="FFFFFF"/>
        </w:rPr>
        <w:t>1.服务期限：采购总金额不超过7万元，达到该限额，采购合同自行终止，其余</w:t>
      </w:r>
      <w:r>
        <w:rPr>
          <w:rFonts w:hint="eastAsia" w:ascii="仿宋_GB2312" w:hAnsi="仿宋_GB2312" w:eastAsia="仿宋_GB2312" w:cs="仿宋_GB2312"/>
          <w:color w:val="000000"/>
          <w:sz w:val="32"/>
          <w:szCs w:val="32"/>
          <w:shd w:val="clear" w:color="auto" w:fill="FFFFFF"/>
        </w:rPr>
        <w:t>详见本章二、技术、服务要求（二）</w:t>
      </w:r>
      <w:r>
        <w:rPr>
          <w:rFonts w:hint="eastAsia" w:ascii="仿宋_GB2312" w:hAnsi="仿宋_GB2312" w:eastAsia="仿宋_GB2312" w:cs="仿宋_GB2312"/>
          <w:sz w:val="32"/>
          <w:szCs w:val="32"/>
          <w:shd w:val="clear" w:color="auto" w:fill="FFFFFF"/>
        </w:rPr>
        <w:t>技术要求 服务时间。</w:t>
      </w:r>
    </w:p>
    <w:p w14:paraId="6E0E8EC9">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2.报价：本项目预算7万元；报价超过采购预算，其比选申请文件按无效处理。</w:t>
      </w:r>
    </w:p>
    <w:p w14:paraId="08E05772">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付款方式：按实际检测数量×中标单价据实结算，中标人于项目完成后10个工作日内发送注明有效报告例数及检测费用的对账单至采购人，采购人收到对账单予以核对确认，并将签字确认的对账单返回到中标人，中标人根据对账单总计金额的100%向采购人开具发票，采购人收到发票后10个工作日内将账款转至中标人指定账户。</w:t>
      </w:r>
    </w:p>
    <w:p w14:paraId="593F7ECA">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4.服务地点：成都市中西医结合医院南区。</w:t>
      </w:r>
    </w:p>
    <w:p w14:paraId="4DE3EED0">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5.验收要求：</w:t>
      </w:r>
    </w:p>
    <w:p w14:paraId="21E8E7FE">
      <w:pPr>
        <w:tabs>
          <w:tab w:val="left" w:pos="0"/>
          <w:tab w:val="left" w:pos="420"/>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（1）验收内容</w:t>
      </w:r>
    </w:p>
    <w:p w14:paraId="3313DA1E">
      <w:pPr>
        <w:tabs>
          <w:tab w:val="left" w:pos="0"/>
          <w:tab w:val="left" w:pos="420"/>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文档作为成果验收，在项目实施过程中要保证相关技术文档的完整性，严格根据项目实施的各个部分、阶段编写相关的技术文档，包括但不限于项目实施方案、技术设计书、元数据表、数据质量检查与评价报告、项目工作总结报告、项目技术总结报告等，以上验收内容电子版、纸质版各一套。</w:t>
      </w:r>
    </w:p>
    <w:p w14:paraId="05FF9265">
      <w:pPr>
        <w:tabs>
          <w:tab w:val="left" w:pos="0"/>
          <w:tab w:val="left" w:pos="420"/>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（2）验收标准</w:t>
      </w:r>
    </w:p>
    <w:p w14:paraId="099ED069">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按照相关法律法规的要求进行履约验收，</w:t>
      </w:r>
      <w:r>
        <w:rPr>
          <w:rFonts w:hint="eastAsia" w:ascii="仿宋_GB2312" w:hAnsi="仿宋_GB2312" w:eastAsia="仿宋_GB2312" w:cs="仿宋_GB2312"/>
          <w:sz w:val="32"/>
          <w:szCs w:val="32"/>
        </w:rPr>
        <w:t>研究开发所完成的技术成果，需满足比选文件第三章中的要求。</w:t>
      </w:r>
    </w:p>
    <w:p w14:paraId="6D7B8EE5">
      <w:pPr>
        <w:shd w:val="clear" w:color="auto" w:fill="FFFFFF"/>
        <w:tabs>
          <w:tab w:val="left" w:pos="720"/>
          <w:tab w:val="left" w:pos="900"/>
        </w:tabs>
        <w:adjustRightInd w:val="0"/>
        <w:snapToGrid w:val="0"/>
        <w:spacing w:line="560" w:lineRule="exact"/>
        <w:ind w:firstLine="420" w:firstLineChars="200"/>
        <w:jc w:val="both"/>
        <w:rPr>
          <w:rFonts w:hint="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CA8B8"/>
    <w:multiLevelType w:val="singleLevel"/>
    <w:tmpl w:val="EEECA8B8"/>
    <w:lvl w:ilvl="0" w:tentative="0">
      <w:start w:val="2"/>
      <w:numFmt w:val="decimal"/>
      <w:suff w:val="nothing"/>
      <w:lvlText w:val="%1、"/>
      <w:lvlJc w:val="left"/>
    </w:lvl>
  </w:abstractNum>
  <w:abstractNum w:abstractNumId="1">
    <w:nsid w:val="085AFCCA"/>
    <w:multiLevelType w:val="singleLevel"/>
    <w:tmpl w:val="085AFCCA"/>
    <w:lvl w:ilvl="0" w:tentative="0">
      <w:start w:val="3"/>
      <w:numFmt w:val="chineseCounting"/>
      <w:suff w:val="nothing"/>
      <w:lvlText w:val="（%1）"/>
      <w:lvlJc w:val="left"/>
      <w:rPr>
        <w:rFonts w:hint="eastAsia"/>
      </w:rPr>
    </w:lvl>
  </w:abstractNum>
  <w:abstractNum w:abstractNumId="2">
    <w:nsid w:val="165B1D6C"/>
    <w:multiLevelType w:val="singleLevel"/>
    <w:tmpl w:val="165B1D6C"/>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ZmUxZjUzMjY2OGYxMTk4N2M4YTc1ZjZhYTc3N2YifQ=="/>
  </w:docVars>
  <w:rsids>
    <w:rsidRoot w:val="00000000"/>
    <w:rsid w:val="45110459"/>
    <w:rsid w:val="52F963F7"/>
    <w:rsid w:val="7853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916</Words>
  <Characters>930</Characters>
  <Lines>0</Lines>
  <Paragraphs>0</Paragraphs>
  <TotalTime>0</TotalTime>
  <ScaleCrop>false</ScaleCrop>
  <LinksUpToDate>false</LinksUpToDate>
  <CharactersWithSpaces>931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2024-10-22T02:21:00Z</dcterms:created>
  <dc:creator>Administrator</dc:creator>
  <cp:lastModifiedBy>国招邓诗依</cp:lastModifiedBy>
  <dcterms:modified xsi:type="dcterms:W3CDTF">2025-09-05T07:52:38Z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4028AC1DA5DA4FB9B6A0A8EC7C1DC9EB_13</vt:lpwstr>
  </property>
  <property fmtid="{D5CDD505-2E9C-101B-9397-08002B2CF9AE}" pid="4" name="KSOTemplateDocerSaveRecord">
    <vt:lpwstr>eyJoZGlkIjoiMWRhMTBhYzU5NmFlY2Q4MDk0YWVmZTU1YWVjYmNmZTkiLCJ1c2VySWQiOiI0Mzg0NTQzMTEifQ==</vt:lpwstr>
  </property>
</Properties>
</file>