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32311">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342273C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76E965EA">
      <w:pPr>
        <w:pStyle w:val="2"/>
        <w:spacing w:before="0" w:after="0" w:line="240" w:lineRule="auto"/>
        <w:jc w:val="both"/>
        <w:rPr>
          <w:rFonts w:hint="eastAsia" w:ascii="Times New Roman" w:eastAsia="黑体" w:cs="Times New Roman"/>
          <w:color w:val="auto"/>
          <w:sz w:val="32"/>
          <w:szCs w:val="32"/>
          <w:shd w:val="clear" w:color="auto" w:fill="FFFFFF"/>
        </w:rPr>
      </w:pPr>
      <w:r>
        <w:rPr>
          <w:rFonts w:ascii="Times New Roman" w:eastAsia="黑体" w:cs="Times New Roman"/>
          <w:color w:val="auto"/>
          <w:sz w:val="32"/>
          <w:szCs w:val="32"/>
          <w:shd w:val="clear" w:color="auto" w:fill="FFFFFF"/>
        </w:rPr>
        <w:t>一、比选项目</w:t>
      </w:r>
      <w:r>
        <w:rPr>
          <w:rFonts w:hint="eastAsia" w:ascii="Times New Roman" w:eastAsia="黑体" w:cs="Times New Roman"/>
          <w:color w:val="auto"/>
          <w:sz w:val="32"/>
          <w:szCs w:val="32"/>
          <w:shd w:val="clear" w:color="auto" w:fill="FFFFFF"/>
        </w:rPr>
        <w:t>内容</w:t>
      </w:r>
    </w:p>
    <w:p w14:paraId="0DFF198C">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Times New Roman" w:hAnsi="Times New Roman" w:cs="Times New Roman"/>
          <w:sz w:val="32"/>
          <w:szCs w:val="32"/>
          <w:shd w:val="clear" w:color="auto" w:fill="FFFFFF"/>
        </w:rPr>
        <w:t>本次采购</w:t>
      </w:r>
      <w:r>
        <w:rPr>
          <w:rFonts w:hint="default" w:ascii="Times New Roman" w:hAnsi="Times New Roman" w:cs="Times New Roman"/>
          <w:sz w:val="32"/>
          <w:szCs w:val="32"/>
          <w:u w:val="none"/>
          <w:shd w:val="clear" w:color="auto" w:fill="FFFFFF"/>
        </w:rPr>
        <w:t>共1个项目</w:t>
      </w:r>
      <w:r>
        <w:rPr>
          <w:rFonts w:hint="eastAsia" w:ascii="仿宋_GB2312" w:hAnsi="仿宋_GB2312" w:eastAsia="仿宋_GB2312" w:cs="仿宋_GB2312"/>
          <w:sz w:val="32"/>
          <w:szCs w:val="32"/>
          <w:shd w:val="clear" w:color="auto" w:fill="FFFFFF"/>
          <w:lang w:val="en-US" w:eastAsia="zh-CN"/>
        </w:rPr>
        <w:t>，采购</w:t>
      </w:r>
      <w:r>
        <w:rPr>
          <w:rFonts w:hint="eastAsia" w:ascii="Times New Roman" w:cs="Times New Roman"/>
          <w:sz w:val="32"/>
          <w:szCs w:val="32"/>
          <w:shd w:val="clear" w:color="auto" w:fill="FFFFFF"/>
          <w:lang w:eastAsia="zh-CN"/>
        </w:rPr>
        <w:t>危险废物转运处置服务项目（</w:t>
      </w:r>
      <w:r>
        <w:rPr>
          <w:rFonts w:hint="eastAsia" w:ascii="Times New Roman" w:cs="Times New Roman"/>
          <w:sz w:val="32"/>
          <w:szCs w:val="32"/>
          <w:shd w:val="clear" w:color="auto" w:fill="FFFFFF"/>
          <w:lang w:val="en-US" w:eastAsia="zh-CN"/>
        </w:rPr>
        <w:t>三次）</w:t>
      </w:r>
      <w:r>
        <w:rPr>
          <w:rFonts w:hint="eastAsia" w:ascii="仿宋_GB2312" w:hAnsi="仿宋_GB2312" w:eastAsia="仿宋_GB2312" w:cs="仿宋_GB2312"/>
          <w:sz w:val="32"/>
          <w:szCs w:val="32"/>
          <w:shd w:val="clear" w:color="auto" w:fill="FFFFFF"/>
          <w:lang w:val="en-US" w:eastAsia="zh-CN"/>
        </w:rPr>
        <w:t>，预算金额</w:t>
      </w:r>
      <w:r>
        <w:rPr>
          <w:rFonts w:hint="eastAsia" w:hAnsi="仿宋_GB2312" w:cs="仿宋_GB2312"/>
          <w:sz w:val="32"/>
          <w:szCs w:val="32"/>
          <w:u w:val="none"/>
          <w:shd w:val="clear" w:color="auto" w:fill="FFFFFF"/>
          <w:lang w:val="en-US" w:eastAsia="zh-CN"/>
        </w:rPr>
        <w:t>18</w:t>
      </w:r>
      <w:r>
        <w:rPr>
          <w:rFonts w:hint="eastAsia" w:ascii="仿宋_GB2312" w:hAnsi="仿宋_GB2312" w:eastAsia="仿宋_GB2312" w:cs="仿宋_GB2312"/>
          <w:sz w:val="32"/>
          <w:szCs w:val="32"/>
          <w:u w:val="none"/>
          <w:shd w:val="clear" w:color="auto" w:fill="FFFFFF"/>
          <w:lang w:val="en-US" w:eastAsia="zh-CN"/>
        </w:rPr>
        <w:t>万</w:t>
      </w:r>
      <w:r>
        <w:rPr>
          <w:rFonts w:hint="eastAsia" w:ascii="仿宋_GB2312" w:hAnsi="仿宋_GB2312" w:eastAsia="仿宋_GB2312" w:cs="仿宋_GB2312"/>
          <w:sz w:val="32"/>
          <w:szCs w:val="32"/>
          <w:shd w:val="clear" w:color="auto" w:fill="FFFFFF"/>
          <w:lang w:val="en-US" w:eastAsia="zh-CN"/>
        </w:rPr>
        <w:t>元</w:t>
      </w:r>
      <w:r>
        <w:rPr>
          <w:rFonts w:hint="eastAsia" w:hAnsi="仿宋_GB2312" w:cs="仿宋_GB2312"/>
          <w:sz w:val="32"/>
          <w:szCs w:val="32"/>
          <w:shd w:val="clear" w:color="auto" w:fill="FFFFFF"/>
          <w:lang w:val="en-US" w:eastAsia="zh-CN"/>
        </w:rPr>
        <w:t>/年，一采三年。</w:t>
      </w:r>
      <w:bookmarkStart w:id="0" w:name="_GoBack"/>
      <w:bookmarkEnd w:id="0"/>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132F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7D0F4BE3">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48C3C458">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5E76CC58">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项</w:t>
            </w:r>
            <w:r>
              <w:rPr>
                <w:rFonts w:hint="eastAsia" w:ascii="Times New Roman" w:cs="Times New Roman"/>
                <w:b/>
                <w:sz w:val="28"/>
                <w:szCs w:val="28"/>
                <w:shd w:val="clear" w:color="auto" w:fill="FFFFFF"/>
              </w:rPr>
              <w:t>）</w:t>
            </w:r>
          </w:p>
        </w:tc>
        <w:tc>
          <w:tcPr>
            <w:tcW w:w="2539" w:type="dxa"/>
            <w:noWrap w:val="0"/>
            <w:vAlign w:val="center"/>
          </w:tcPr>
          <w:p w14:paraId="570692CA">
            <w:pPr>
              <w:shd w:val="clear" w:color="auto" w:fill="FFFFFF"/>
              <w:tabs>
                <w:tab w:val="left" w:pos="720"/>
              </w:tabs>
              <w:snapToGrid w:val="0"/>
              <w:spacing w:line="400" w:lineRule="exact"/>
              <w:jc w:val="center"/>
              <w:rPr>
                <w:rFonts w:hint="eastAsia" w:ascii="Times New Roman"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w:t>
            </w:r>
          </w:p>
          <w:p w14:paraId="123AC5FE">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（万元/年）</w:t>
            </w:r>
          </w:p>
        </w:tc>
      </w:tr>
      <w:tr w14:paraId="6876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5BADACD7">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70D5CF3B">
            <w:pPr>
              <w:shd w:val="clear" w:color="auto" w:fill="FFFFFF"/>
              <w:tabs>
                <w:tab w:val="left" w:pos="720"/>
              </w:tabs>
              <w:snapToGrid w:val="0"/>
              <w:spacing w:line="400" w:lineRule="exact"/>
              <w:jc w:val="center"/>
              <w:rPr>
                <w:rFonts w:hint="eastAsia" w:ascii="Times New Roman" w:cs="Times New Roman"/>
                <w:sz w:val="32"/>
                <w:szCs w:val="32"/>
                <w:shd w:val="clear" w:color="auto" w:fill="FFFFFF"/>
                <w:lang w:eastAsia="zh-CN"/>
              </w:rPr>
            </w:pPr>
            <w:r>
              <w:rPr>
                <w:rFonts w:hint="eastAsia" w:ascii="Times New Roman" w:cs="Times New Roman"/>
                <w:sz w:val="32"/>
                <w:szCs w:val="32"/>
                <w:shd w:val="clear" w:color="auto" w:fill="FFFFFF"/>
                <w:lang w:eastAsia="zh-CN"/>
              </w:rPr>
              <w:t>危险废物转运</w:t>
            </w:r>
          </w:p>
          <w:p w14:paraId="1A187C88">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处置服务</w:t>
            </w:r>
          </w:p>
        </w:tc>
        <w:tc>
          <w:tcPr>
            <w:tcW w:w="1680" w:type="dxa"/>
            <w:noWrap w:val="0"/>
            <w:vAlign w:val="center"/>
          </w:tcPr>
          <w:p w14:paraId="35A03C0E">
            <w:pPr>
              <w:shd w:val="clear" w:color="auto" w:fill="FFFFFF"/>
              <w:tabs>
                <w:tab w:val="left" w:pos="720"/>
              </w:tabs>
              <w:snapToGrid w:val="0"/>
              <w:spacing w:line="400" w:lineRule="exact"/>
              <w:jc w:val="center"/>
              <w:rPr>
                <w:rFonts w:hint="default" w:eastAsia="仿宋_GB2312"/>
                <w:lang w:val="en-US" w:eastAsia="zh-CN"/>
              </w:rPr>
            </w:pPr>
            <w:r>
              <w:rPr>
                <w:rFonts w:hint="eastAsia" w:ascii="Times New Roman" w:hAnsi="Times New Roman" w:cs="Times New Roman"/>
                <w:sz w:val="28"/>
                <w:szCs w:val="28"/>
                <w:shd w:val="clear" w:color="auto" w:fill="FFFFFF"/>
                <w:lang w:val="en-US" w:eastAsia="zh-CN"/>
              </w:rPr>
              <w:t>1</w:t>
            </w:r>
          </w:p>
        </w:tc>
        <w:tc>
          <w:tcPr>
            <w:tcW w:w="2539" w:type="dxa"/>
            <w:noWrap w:val="0"/>
            <w:vAlign w:val="center"/>
          </w:tcPr>
          <w:p w14:paraId="4496045E">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18</w:t>
            </w:r>
          </w:p>
        </w:tc>
      </w:tr>
    </w:tbl>
    <w:p w14:paraId="7FBCF64D">
      <w:pPr>
        <w:numPr>
          <w:ilvl w:val="0"/>
          <w:numId w:val="0"/>
        </w:num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kern w:val="2"/>
          <w:sz w:val="32"/>
          <w:szCs w:val="32"/>
          <w:shd w:val="clear" w:color="auto" w:fill="FFFFFF"/>
          <w:lang w:val="en-US" w:eastAsia="zh-CN" w:bidi="ar-SA"/>
        </w:rPr>
        <w:t>二、</w:t>
      </w:r>
      <w:r>
        <w:rPr>
          <w:rFonts w:hint="eastAsia" w:ascii="Times New Roman" w:eastAsia="黑体" w:cs="Times New Roman"/>
          <w:sz w:val="32"/>
          <w:szCs w:val="32"/>
          <w:shd w:val="clear" w:color="auto" w:fill="FFFFFF"/>
          <w:lang w:val="en-US" w:eastAsia="zh-CN"/>
        </w:rPr>
        <w:t>服务</w:t>
      </w:r>
      <w:r>
        <w:rPr>
          <w:rFonts w:ascii="Times New Roman" w:eastAsia="黑体" w:cs="Times New Roman"/>
          <w:sz w:val="32"/>
          <w:szCs w:val="32"/>
          <w:shd w:val="clear" w:color="auto" w:fill="FFFFFF"/>
        </w:rPr>
        <w:t>要求</w:t>
      </w:r>
    </w:p>
    <w:p w14:paraId="7C4C86DC">
      <w:pPr>
        <w:numPr>
          <w:ilvl w:val="0"/>
          <w:numId w:val="0"/>
        </w:numPr>
        <w:shd w:val="clear" w:color="auto" w:fill="FFFFFF"/>
        <w:tabs>
          <w:tab w:val="left" w:pos="720"/>
          <w:tab w:val="left" w:pos="900"/>
        </w:tabs>
        <w:snapToGrid w:val="0"/>
        <w:spacing w:line="560" w:lineRule="exact"/>
        <w:ind w:firstLine="320" w:firstLineChars="100"/>
        <w:rPr>
          <w:rFonts w:hint="eastAsia"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eastAsia="zh-CN"/>
        </w:rPr>
        <w:t>（</w:t>
      </w:r>
      <w:r>
        <w:rPr>
          <w:rFonts w:hint="eastAsia" w:ascii="Times New Roman" w:eastAsia="黑体" w:cs="Times New Roman"/>
          <w:sz w:val="32"/>
          <w:szCs w:val="32"/>
          <w:shd w:val="clear" w:color="auto" w:fill="FFFFFF"/>
          <w:lang w:val="en-US" w:eastAsia="zh-CN"/>
        </w:rPr>
        <w:t>一）转运清单</w:t>
      </w:r>
    </w:p>
    <w:tbl>
      <w:tblPr>
        <w:tblStyle w:val="8"/>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07"/>
        <w:gridCol w:w="1680"/>
        <w:gridCol w:w="1245"/>
        <w:gridCol w:w="2010"/>
        <w:gridCol w:w="2072"/>
      </w:tblGrid>
      <w:tr w14:paraId="2F0D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14:paraId="2704753E">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default" w:ascii="Times New Roman" w:hAnsi="Times New Roman" w:cs="Times New Roman"/>
                <w:b/>
                <w:bCs w:val="0"/>
                <w:sz w:val="28"/>
                <w:szCs w:val="28"/>
                <w:shd w:val="clear" w:color="auto" w:fill="FFFFFF"/>
                <w:lang w:val="en-US" w:eastAsia="zh-CN"/>
              </w:rPr>
              <w:t>序号</w:t>
            </w:r>
          </w:p>
        </w:tc>
        <w:tc>
          <w:tcPr>
            <w:tcW w:w="1507" w:type="dxa"/>
            <w:noWrap w:val="0"/>
            <w:vAlign w:val="center"/>
          </w:tcPr>
          <w:p w14:paraId="525BF519">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eastAsia" w:ascii="Times New Roman" w:hAnsi="Times New Roman" w:cs="Times New Roman"/>
                <w:b/>
                <w:bCs w:val="0"/>
                <w:sz w:val="28"/>
                <w:szCs w:val="28"/>
                <w:shd w:val="clear" w:color="auto" w:fill="FFFFFF"/>
                <w:lang w:val="en-US" w:eastAsia="zh-CN"/>
              </w:rPr>
              <w:t>名称</w:t>
            </w:r>
          </w:p>
        </w:tc>
        <w:tc>
          <w:tcPr>
            <w:tcW w:w="1680" w:type="dxa"/>
            <w:noWrap w:val="0"/>
            <w:vAlign w:val="center"/>
          </w:tcPr>
          <w:p w14:paraId="0A7B1435">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default" w:ascii="Times New Roman" w:hAnsi="Times New Roman" w:cs="Times New Roman"/>
                <w:b/>
                <w:bCs w:val="0"/>
                <w:sz w:val="28"/>
                <w:szCs w:val="28"/>
                <w:shd w:val="clear" w:color="auto" w:fill="FFFFFF"/>
                <w:lang w:val="en-US" w:eastAsia="zh-CN"/>
              </w:rPr>
              <w:t>废物代码</w:t>
            </w:r>
          </w:p>
        </w:tc>
        <w:tc>
          <w:tcPr>
            <w:tcW w:w="1245" w:type="dxa"/>
            <w:noWrap w:val="0"/>
            <w:vAlign w:val="center"/>
          </w:tcPr>
          <w:p w14:paraId="2DFF77E4">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default" w:ascii="Times New Roman" w:hAnsi="Times New Roman" w:cs="Times New Roman"/>
                <w:b/>
                <w:bCs w:val="0"/>
                <w:sz w:val="28"/>
                <w:szCs w:val="28"/>
                <w:shd w:val="clear" w:color="auto" w:fill="FFFFFF"/>
                <w:lang w:val="en-US" w:eastAsia="zh-CN"/>
              </w:rPr>
              <w:t>单位</w:t>
            </w:r>
          </w:p>
        </w:tc>
        <w:tc>
          <w:tcPr>
            <w:tcW w:w="2010" w:type="dxa"/>
            <w:noWrap w:val="0"/>
            <w:vAlign w:val="center"/>
          </w:tcPr>
          <w:p w14:paraId="3C2ECA89">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default" w:ascii="Times New Roman" w:hAnsi="Times New Roman" w:cs="Times New Roman"/>
                <w:b/>
                <w:bCs w:val="0"/>
                <w:sz w:val="28"/>
                <w:szCs w:val="28"/>
                <w:shd w:val="clear" w:color="auto" w:fill="FFFFFF"/>
                <w:lang w:val="en-US" w:eastAsia="zh-CN"/>
              </w:rPr>
              <w:t>单价最高限价</w:t>
            </w:r>
          </w:p>
          <w:p w14:paraId="10807C79">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default" w:ascii="Times New Roman" w:hAnsi="Times New Roman" w:cs="Times New Roman"/>
                <w:b/>
                <w:bCs w:val="0"/>
                <w:sz w:val="28"/>
                <w:szCs w:val="28"/>
                <w:shd w:val="clear" w:color="auto" w:fill="FFFFFF"/>
                <w:lang w:val="en-US" w:eastAsia="zh-CN"/>
              </w:rPr>
              <w:t>（</w:t>
            </w:r>
            <w:r>
              <w:rPr>
                <w:rFonts w:hint="eastAsia" w:ascii="Times New Roman" w:hAnsi="Times New Roman" w:cs="Times New Roman"/>
                <w:b/>
                <w:bCs w:val="0"/>
                <w:sz w:val="28"/>
                <w:szCs w:val="28"/>
                <w:shd w:val="clear" w:color="auto" w:fill="FFFFFF"/>
                <w:lang w:val="en-US" w:eastAsia="zh-CN"/>
              </w:rPr>
              <w:t>万</w:t>
            </w:r>
            <w:r>
              <w:rPr>
                <w:rFonts w:hint="default" w:ascii="Times New Roman" w:hAnsi="Times New Roman" w:cs="Times New Roman"/>
                <w:b/>
                <w:bCs w:val="0"/>
                <w:sz w:val="28"/>
                <w:szCs w:val="28"/>
                <w:shd w:val="clear" w:color="auto" w:fill="FFFFFF"/>
                <w:lang w:val="en-US" w:eastAsia="zh-CN"/>
              </w:rPr>
              <w:t>元）</w:t>
            </w:r>
          </w:p>
        </w:tc>
        <w:tc>
          <w:tcPr>
            <w:tcW w:w="2072" w:type="dxa"/>
            <w:noWrap w:val="0"/>
            <w:vAlign w:val="center"/>
          </w:tcPr>
          <w:p w14:paraId="647AC336">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default" w:ascii="Times New Roman" w:hAnsi="Times New Roman" w:cs="Times New Roman"/>
                <w:b/>
                <w:bCs w:val="0"/>
                <w:sz w:val="28"/>
                <w:szCs w:val="28"/>
                <w:shd w:val="clear" w:color="auto" w:fill="FFFFFF"/>
                <w:lang w:val="en-US" w:eastAsia="zh-CN"/>
              </w:rPr>
              <w:t>预估年处置量</w:t>
            </w:r>
          </w:p>
          <w:p w14:paraId="5F06DA01">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val="0"/>
                <w:sz w:val="28"/>
                <w:szCs w:val="28"/>
                <w:shd w:val="clear" w:color="auto" w:fill="FFFFFF"/>
                <w:lang w:val="en-US" w:eastAsia="zh-CN"/>
              </w:rPr>
            </w:pPr>
            <w:r>
              <w:rPr>
                <w:rFonts w:hint="default" w:ascii="Times New Roman" w:hAnsi="Times New Roman" w:cs="Times New Roman"/>
                <w:b/>
                <w:bCs w:val="0"/>
                <w:sz w:val="28"/>
                <w:szCs w:val="28"/>
                <w:shd w:val="clear" w:color="auto" w:fill="FFFFFF"/>
                <w:lang w:val="en-US" w:eastAsia="zh-CN"/>
              </w:rPr>
              <w:t>(单位:吨)</w:t>
            </w:r>
          </w:p>
        </w:tc>
      </w:tr>
      <w:tr w14:paraId="04A5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58415145">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1</w:t>
            </w:r>
          </w:p>
        </w:tc>
        <w:tc>
          <w:tcPr>
            <w:tcW w:w="1507" w:type="dxa"/>
            <w:noWrap w:val="0"/>
            <w:vAlign w:val="top"/>
          </w:tcPr>
          <w:p w14:paraId="5185B923">
            <w:pPr>
              <w:spacing w:line="600" w:lineRule="auto"/>
              <w:jc w:val="center"/>
              <w:rPr>
                <w:rFonts w:hint="default"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rPr>
              <w:t>实验室废液</w:t>
            </w:r>
          </w:p>
        </w:tc>
        <w:tc>
          <w:tcPr>
            <w:tcW w:w="1680" w:type="dxa"/>
            <w:noWrap w:val="0"/>
            <w:vAlign w:val="top"/>
          </w:tcPr>
          <w:p w14:paraId="5BFA882B">
            <w:pPr>
              <w:spacing w:line="600" w:lineRule="auto"/>
              <w:jc w:val="center"/>
              <w:rPr>
                <w:rFonts w:hint="default"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lang w:val="en-US" w:eastAsia="zh-CN"/>
              </w:rPr>
              <w:t>900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047</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49</w:t>
            </w:r>
          </w:p>
        </w:tc>
        <w:tc>
          <w:tcPr>
            <w:tcW w:w="1245" w:type="dxa"/>
            <w:noWrap w:val="0"/>
            <w:vAlign w:val="center"/>
          </w:tcPr>
          <w:p w14:paraId="5000212B">
            <w:pPr>
              <w:spacing w:line="60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吨</w:t>
            </w:r>
          </w:p>
        </w:tc>
        <w:tc>
          <w:tcPr>
            <w:tcW w:w="2010" w:type="dxa"/>
            <w:noWrap w:val="0"/>
            <w:vAlign w:val="center"/>
          </w:tcPr>
          <w:p w14:paraId="584EC7C2">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1</w:t>
            </w:r>
            <w:r>
              <w:rPr>
                <w:rFonts w:hint="default" w:ascii="Times New Roman" w:hAnsi="Times New Roman" w:cs="Times New Roman"/>
                <w:b w:val="0"/>
                <w:bCs/>
                <w:sz w:val="28"/>
                <w:szCs w:val="28"/>
                <w:highlight w:val="none"/>
                <w:shd w:val="clear" w:color="auto" w:fill="FFFFFF"/>
                <w:lang w:val="en-US" w:eastAsia="zh-CN"/>
              </w:rPr>
              <w:t>.5</w:t>
            </w:r>
          </w:p>
        </w:tc>
        <w:tc>
          <w:tcPr>
            <w:tcW w:w="2072" w:type="dxa"/>
            <w:noWrap w:val="0"/>
            <w:vAlign w:val="center"/>
          </w:tcPr>
          <w:p w14:paraId="71BF5DCE">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eastAsia"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7.2</w:t>
            </w:r>
          </w:p>
        </w:tc>
      </w:tr>
      <w:tr w14:paraId="40AC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1FC08675">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2</w:t>
            </w:r>
          </w:p>
        </w:tc>
        <w:tc>
          <w:tcPr>
            <w:tcW w:w="1507" w:type="dxa"/>
            <w:noWrap w:val="0"/>
            <w:vAlign w:val="top"/>
          </w:tcPr>
          <w:p w14:paraId="2CE1BBC5">
            <w:pPr>
              <w:spacing w:line="600" w:lineRule="auto"/>
              <w:jc w:val="center"/>
              <w:rPr>
                <w:rFonts w:hint="eastAsia" w:ascii="仿宋_GB2312" w:eastAsia="仿宋_GB2312" w:cs="仿宋_GB2312"/>
                <w:kern w:val="2"/>
                <w:sz w:val="36"/>
                <w:szCs w:val="36"/>
                <w:lang w:val="en-US" w:eastAsia="zh-CN" w:bidi="ar-SA"/>
              </w:rPr>
            </w:pPr>
            <w:r>
              <w:rPr>
                <w:rFonts w:hint="eastAsia" w:ascii="仿宋_GB2312" w:hAnsi="仿宋_GB2312" w:eastAsia="仿宋_GB2312" w:cs="仿宋_GB2312"/>
                <w:sz w:val="24"/>
                <w:szCs w:val="24"/>
                <w:lang w:val="en-US" w:eastAsia="zh-CN"/>
              </w:rPr>
              <w:t>活性炭</w:t>
            </w:r>
          </w:p>
        </w:tc>
        <w:tc>
          <w:tcPr>
            <w:tcW w:w="1680" w:type="dxa"/>
            <w:noWrap w:val="0"/>
            <w:vAlign w:val="top"/>
          </w:tcPr>
          <w:p w14:paraId="42317B45">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rPr>
              <w:t>900-039-49</w:t>
            </w:r>
          </w:p>
        </w:tc>
        <w:tc>
          <w:tcPr>
            <w:tcW w:w="1245" w:type="dxa"/>
            <w:noWrap w:val="0"/>
            <w:vAlign w:val="center"/>
          </w:tcPr>
          <w:p w14:paraId="2AF8A02B">
            <w:pPr>
              <w:spacing w:line="60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吨</w:t>
            </w:r>
          </w:p>
        </w:tc>
        <w:tc>
          <w:tcPr>
            <w:tcW w:w="2010" w:type="dxa"/>
            <w:noWrap w:val="0"/>
            <w:vAlign w:val="center"/>
          </w:tcPr>
          <w:p w14:paraId="348A4486">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default" w:ascii="Times New Roman" w:hAnsi="Times New Roman" w:cs="Times New Roman"/>
                <w:b w:val="0"/>
                <w:bCs/>
                <w:sz w:val="28"/>
                <w:szCs w:val="28"/>
                <w:highlight w:val="none"/>
                <w:shd w:val="clear" w:color="auto" w:fill="FFFFFF"/>
                <w:lang w:val="en-US" w:eastAsia="zh-CN"/>
              </w:rPr>
              <w:t>0.55</w:t>
            </w:r>
          </w:p>
        </w:tc>
        <w:tc>
          <w:tcPr>
            <w:tcW w:w="2072" w:type="dxa"/>
            <w:noWrap w:val="0"/>
            <w:vAlign w:val="center"/>
          </w:tcPr>
          <w:p w14:paraId="28D36A05">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default" w:ascii="Times New Roman" w:hAnsi="Times New Roman" w:cs="Times New Roman"/>
                <w:b w:val="0"/>
                <w:bCs/>
                <w:sz w:val="28"/>
                <w:szCs w:val="28"/>
                <w:highlight w:val="none"/>
                <w:shd w:val="clear" w:color="auto" w:fill="FFFFFF"/>
                <w:lang w:val="en-US" w:eastAsia="zh-CN"/>
              </w:rPr>
              <w:t>0.04</w:t>
            </w:r>
          </w:p>
        </w:tc>
      </w:tr>
      <w:tr w14:paraId="225A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73CE01A9">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3</w:t>
            </w:r>
          </w:p>
        </w:tc>
        <w:tc>
          <w:tcPr>
            <w:tcW w:w="1507" w:type="dxa"/>
            <w:noWrap w:val="0"/>
            <w:vAlign w:val="top"/>
          </w:tcPr>
          <w:p w14:paraId="3BF7580F">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lang w:val="en-US" w:eastAsia="zh-CN"/>
              </w:rPr>
              <w:t>无机废液</w:t>
            </w:r>
          </w:p>
        </w:tc>
        <w:tc>
          <w:tcPr>
            <w:tcW w:w="1680" w:type="dxa"/>
            <w:noWrap w:val="0"/>
            <w:vAlign w:val="top"/>
          </w:tcPr>
          <w:p w14:paraId="5AD554ED">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rPr>
              <w:t>900-047-49</w:t>
            </w:r>
          </w:p>
        </w:tc>
        <w:tc>
          <w:tcPr>
            <w:tcW w:w="1245" w:type="dxa"/>
            <w:noWrap w:val="0"/>
            <w:vAlign w:val="center"/>
          </w:tcPr>
          <w:p w14:paraId="6C5B0789">
            <w:pPr>
              <w:spacing w:line="60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吨</w:t>
            </w:r>
          </w:p>
        </w:tc>
        <w:tc>
          <w:tcPr>
            <w:tcW w:w="2010" w:type="dxa"/>
            <w:noWrap w:val="0"/>
            <w:vAlign w:val="center"/>
          </w:tcPr>
          <w:p w14:paraId="6C7AFA56">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1.5</w:t>
            </w:r>
          </w:p>
        </w:tc>
        <w:tc>
          <w:tcPr>
            <w:tcW w:w="2072" w:type="dxa"/>
            <w:noWrap w:val="0"/>
            <w:vAlign w:val="center"/>
          </w:tcPr>
          <w:p w14:paraId="542E28C8">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eastAsia"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0.06</w:t>
            </w:r>
          </w:p>
        </w:tc>
      </w:tr>
      <w:tr w14:paraId="19E7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12957104">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4</w:t>
            </w:r>
          </w:p>
        </w:tc>
        <w:tc>
          <w:tcPr>
            <w:tcW w:w="1507" w:type="dxa"/>
            <w:noWrap w:val="0"/>
            <w:vAlign w:val="top"/>
          </w:tcPr>
          <w:p w14:paraId="29CC7271">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lang w:val="en-US" w:eastAsia="zh-CN"/>
              </w:rPr>
              <w:t>过期药品</w:t>
            </w:r>
          </w:p>
        </w:tc>
        <w:tc>
          <w:tcPr>
            <w:tcW w:w="1680" w:type="dxa"/>
            <w:noWrap w:val="0"/>
            <w:vAlign w:val="top"/>
          </w:tcPr>
          <w:p w14:paraId="0879954F">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lang w:val="en-US" w:eastAsia="zh-CN"/>
              </w:rPr>
              <w:t>900-002-03</w:t>
            </w:r>
          </w:p>
        </w:tc>
        <w:tc>
          <w:tcPr>
            <w:tcW w:w="1245" w:type="dxa"/>
            <w:noWrap w:val="0"/>
            <w:vAlign w:val="center"/>
          </w:tcPr>
          <w:p w14:paraId="24B48507">
            <w:pPr>
              <w:spacing w:line="60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吨</w:t>
            </w:r>
          </w:p>
        </w:tc>
        <w:tc>
          <w:tcPr>
            <w:tcW w:w="2010" w:type="dxa"/>
            <w:noWrap w:val="0"/>
            <w:vAlign w:val="center"/>
          </w:tcPr>
          <w:p w14:paraId="1F992ABA">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default" w:ascii="Times New Roman" w:hAnsi="Times New Roman" w:cs="Times New Roman"/>
                <w:b w:val="0"/>
                <w:bCs/>
                <w:sz w:val="28"/>
                <w:szCs w:val="28"/>
                <w:highlight w:val="none"/>
                <w:shd w:val="clear" w:color="auto" w:fill="FFFFFF"/>
                <w:lang w:val="en-US" w:eastAsia="zh-CN"/>
              </w:rPr>
              <w:t>0.42</w:t>
            </w:r>
          </w:p>
        </w:tc>
        <w:tc>
          <w:tcPr>
            <w:tcW w:w="2072" w:type="dxa"/>
            <w:noWrap w:val="0"/>
            <w:vAlign w:val="center"/>
          </w:tcPr>
          <w:p w14:paraId="4273BEF1">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1</w:t>
            </w:r>
          </w:p>
        </w:tc>
      </w:tr>
      <w:tr w14:paraId="07C4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448FCE8A">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5</w:t>
            </w:r>
          </w:p>
        </w:tc>
        <w:tc>
          <w:tcPr>
            <w:tcW w:w="1507" w:type="dxa"/>
            <w:noWrap w:val="0"/>
            <w:vAlign w:val="top"/>
          </w:tcPr>
          <w:p w14:paraId="03E2BE31">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lang w:val="en-US" w:eastAsia="zh-CN"/>
              </w:rPr>
              <w:t>废硒鼓</w:t>
            </w:r>
          </w:p>
        </w:tc>
        <w:tc>
          <w:tcPr>
            <w:tcW w:w="1680" w:type="dxa"/>
            <w:noWrap w:val="0"/>
            <w:vAlign w:val="top"/>
          </w:tcPr>
          <w:p w14:paraId="02CD51F1">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lang w:val="en-US" w:eastAsia="zh-CN"/>
              </w:rPr>
              <w:t>900-299-12</w:t>
            </w:r>
          </w:p>
        </w:tc>
        <w:tc>
          <w:tcPr>
            <w:tcW w:w="1245" w:type="dxa"/>
            <w:noWrap w:val="0"/>
            <w:vAlign w:val="center"/>
          </w:tcPr>
          <w:p w14:paraId="78979FD2">
            <w:pPr>
              <w:spacing w:line="60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吨</w:t>
            </w:r>
          </w:p>
        </w:tc>
        <w:tc>
          <w:tcPr>
            <w:tcW w:w="2010" w:type="dxa"/>
            <w:noWrap w:val="0"/>
            <w:vAlign w:val="center"/>
          </w:tcPr>
          <w:p w14:paraId="0DAA5955">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default" w:ascii="Times New Roman" w:hAnsi="Times New Roman" w:cs="Times New Roman"/>
                <w:b w:val="0"/>
                <w:bCs/>
                <w:sz w:val="28"/>
                <w:szCs w:val="28"/>
                <w:highlight w:val="none"/>
                <w:shd w:val="clear" w:color="auto" w:fill="FFFFFF"/>
                <w:lang w:val="en-US" w:eastAsia="zh-CN"/>
              </w:rPr>
              <w:t>0.58</w:t>
            </w:r>
          </w:p>
        </w:tc>
        <w:tc>
          <w:tcPr>
            <w:tcW w:w="2072" w:type="dxa"/>
            <w:noWrap w:val="0"/>
            <w:vAlign w:val="center"/>
          </w:tcPr>
          <w:p w14:paraId="71205CDC">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1</w:t>
            </w:r>
          </w:p>
        </w:tc>
      </w:tr>
      <w:tr w14:paraId="08E3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10C2B191">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6</w:t>
            </w:r>
          </w:p>
        </w:tc>
        <w:tc>
          <w:tcPr>
            <w:tcW w:w="1507" w:type="dxa"/>
            <w:noWrap w:val="0"/>
            <w:vAlign w:val="top"/>
          </w:tcPr>
          <w:p w14:paraId="56107F03">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rPr>
              <w:t>含汞废物</w:t>
            </w:r>
          </w:p>
        </w:tc>
        <w:tc>
          <w:tcPr>
            <w:tcW w:w="1680" w:type="dxa"/>
            <w:noWrap w:val="0"/>
            <w:vAlign w:val="top"/>
          </w:tcPr>
          <w:p w14:paraId="5C41466F">
            <w:pPr>
              <w:spacing w:line="600" w:lineRule="auto"/>
              <w:jc w:val="center"/>
              <w:rPr>
                <w:rFonts w:hint="eastAsia" w:ascii="Times New Roman" w:hAnsi="Times New Roman" w:cs="Times New Roman"/>
                <w:b/>
                <w:bCs w:val="0"/>
                <w:sz w:val="28"/>
                <w:szCs w:val="28"/>
                <w:shd w:val="clear" w:color="auto" w:fill="FFFFFF"/>
                <w:lang w:val="en-US" w:eastAsia="zh-CN"/>
              </w:rPr>
            </w:pPr>
            <w:r>
              <w:rPr>
                <w:rFonts w:hint="eastAsia" w:ascii="仿宋_GB2312" w:hAnsi="仿宋_GB2312" w:eastAsia="仿宋_GB2312" w:cs="仿宋_GB2312"/>
                <w:sz w:val="24"/>
                <w:szCs w:val="24"/>
              </w:rPr>
              <w:t>900-024-29</w:t>
            </w:r>
          </w:p>
        </w:tc>
        <w:tc>
          <w:tcPr>
            <w:tcW w:w="1245" w:type="dxa"/>
            <w:noWrap w:val="0"/>
            <w:vAlign w:val="center"/>
          </w:tcPr>
          <w:p w14:paraId="0E4E01FC">
            <w:pPr>
              <w:spacing w:line="60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吨</w:t>
            </w:r>
          </w:p>
        </w:tc>
        <w:tc>
          <w:tcPr>
            <w:tcW w:w="2010" w:type="dxa"/>
            <w:noWrap w:val="0"/>
            <w:vAlign w:val="center"/>
          </w:tcPr>
          <w:p w14:paraId="3EBBBDE1">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default" w:ascii="Times New Roman" w:hAnsi="Times New Roman" w:cs="Times New Roman"/>
                <w:b w:val="0"/>
                <w:bCs/>
                <w:sz w:val="28"/>
                <w:szCs w:val="28"/>
                <w:highlight w:val="none"/>
                <w:shd w:val="clear" w:color="auto" w:fill="FFFFFF"/>
                <w:lang w:val="en-US" w:eastAsia="zh-CN"/>
              </w:rPr>
              <w:t>1.5</w:t>
            </w:r>
          </w:p>
        </w:tc>
        <w:tc>
          <w:tcPr>
            <w:tcW w:w="2072" w:type="dxa"/>
            <w:noWrap w:val="0"/>
            <w:vAlign w:val="center"/>
          </w:tcPr>
          <w:p w14:paraId="20ADD72B">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default" w:ascii="Times New Roman" w:hAnsi="Times New Roman" w:cs="Times New Roman"/>
                <w:b w:val="0"/>
                <w:bCs/>
                <w:sz w:val="28"/>
                <w:szCs w:val="28"/>
                <w:highlight w:val="none"/>
                <w:shd w:val="clear" w:color="auto" w:fill="FFFFFF"/>
                <w:lang w:val="en-US" w:eastAsia="zh-CN"/>
              </w:rPr>
              <w:t>4</w:t>
            </w:r>
            <w:r>
              <w:rPr>
                <w:rFonts w:hint="eastAsia" w:ascii="Times New Roman" w:hAnsi="Times New Roman" w:cs="Times New Roman"/>
                <w:b w:val="0"/>
                <w:bCs/>
                <w:sz w:val="28"/>
                <w:szCs w:val="28"/>
                <w:highlight w:val="none"/>
                <w:shd w:val="clear" w:color="auto" w:fill="FFFFFF"/>
                <w:lang w:val="en-US" w:eastAsia="zh-CN"/>
              </w:rPr>
              <w:t>.3</w:t>
            </w:r>
          </w:p>
        </w:tc>
      </w:tr>
      <w:tr w14:paraId="164A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638DB157">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7</w:t>
            </w:r>
          </w:p>
        </w:tc>
        <w:tc>
          <w:tcPr>
            <w:tcW w:w="1507" w:type="dxa"/>
            <w:noWrap w:val="0"/>
            <w:vAlign w:val="top"/>
          </w:tcPr>
          <w:p w14:paraId="55AD5A28">
            <w:pPr>
              <w:spacing w:line="600" w:lineRule="auto"/>
              <w:jc w:val="center"/>
              <w:rPr>
                <w:rFonts w:hint="eastAsia" w:ascii="仿宋_GB2312" w:hAnsi="仿宋_GB2312" w:eastAsia="仿宋_GB2312" w:cs="仿宋_GB2312"/>
                <w:sz w:val="24"/>
                <w:szCs w:val="24"/>
                <w:lang w:val="en-US" w:eastAsia="zh-CN"/>
              </w:rPr>
            </w:pPr>
            <w:r>
              <w:rPr>
                <w:rFonts w:hint="eastAsia" w:hAnsi="仿宋_GB2312" w:cs="仿宋_GB2312"/>
                <w:sz w:val="24"/>
                <w:szCs w:val="24"/>
                <w:lang w:val="en-US" w:eastAsia="zh-CN"/>
              </w:rPr>
              <w:t>搬运费</w:t>
            </w:r>
          </w:p>
        </w:tc>
        <w:tc>
          <w:tcPr>
            <w:tcW w:w="1680" w:type="dxa"/>
            <w:noWrap w:val="0"/>
            <w:vAlign w:val="top"/>
          </w:tcPr>
          <w:p w14:paraId="152A4D08">
            <w:pPr>
              <w:spacing w:line="600" w:lineRule="auto"/>
              <w:jc w:val="center"/>
              <w:rPr>
                <w:rFonts w:hint="eastAsia" w:ascii="仿宋_GB2312" w:hAnsi="仿宋_GB2312" w:eastAsia="仿宋_GB2312" w:cs="仿宋_GB2312"/>
                <w:sz w:val="24"/>
                <w:szCs w:val="24"/>
                <w:lang w:val="en-US" w:eastAsia="zh-CN"/>
              </w:rPr>
            </w:pPr>
            <w:r>
              <w:rPr>
                <w:rFonts w:hint="eastAsia" w:hAnsi="仿宋_GB2312" w:cs="仿宋_GB2312"/>
                <w:sz w:val="24"/>
                <w:szCs w:val="24"/>
                <w:lang w:val="en-US" w:eastAsia="zh-CN"/>
              </w:rPr>
              <w:t>/</w:t>
            </w:r>
          </w:p>
        </w:tc>
        <w:tc>
          <w:tcPr>
            <w:tcW w:w="1245" w:type="dxa"/>
            <w:noWrap w:val="0"/>
            <w:vAlign w:val="center"/>
          </w:tcPr>
          <w:p w14:paraId="6DC1A5C4">
            <w:pPr>
              <w:spacing w:line="600" w:lineRule="auto"/>
              <w:jc w:val="center"/>
              <w:rPr>
                <w:rFonts w:hint="default" w:ascii="仿宋_GB2312" w:hAnsi="仿宋_GB2312" w:eastAsia="仿宋_GB2312" w:cs="仿宋_GB2312"/>
                <w:sz w:val="24"/>
                <w:szCs w:val="24"/>
                <w:lang w:val="en-US" w:eastAsia="zh-CN"/>
              </w:rPr>
            </w:pPr>
            <w:r>
              <w:rPr>
                <w:rFonts w:hint="eastAsia" w:hAnsi="仿宋_GB2312" w:cs="仿宋_GB2312"/>
                <w:sz w:val="24"/>
                <w:szCs w:val="24"/>
                <w:lang w:val="en-US" w:eastAsia="zh-CN"/>
              </w:rPr>
              <w:t>次</w:t>
            </w:r>
          </w:p>
        </w:tc>
        <w:tc>
          <w:tcPr>
            <w:tcW w:w="2010" w:type="dxa"/>
            <w:noWrap w:val="0"/>
            <w:vAlign w:val="center"/>
          </w:tcPr>
          <w:p w14:paraId="25DA7B61">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0.12</w:t>
            </w:r>
          </w:p>
        </w:tc>
        <w:tc>
          <w:tcPr>
            <w:tcW w:w="2072" w:type="dxa"/>
            <w:noWrap w:val="0"/>
            <w:vAlign w:val="center"/>
          </w:tcPr>
          <w:p w14:paraId="73BDF316">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hAnsi="仿宋_GB2312" w:cs="仿宋_GB2312"/>
                <w:sz w:val="24"/>
                <w:szCs w:val="24"/>
                <w:lang w:val="en-US" w:eastAsia="zh-CN"/>
              </w:rPr>
              <w:t>/</w:t>
            </w:r>
          </w:p>
        </w:tc>
      </w:tr>
      <w:tr w14:paraId="1A13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noWrap w:val="0"/>
            <w:vAlign w:val="center"/>
          </w:tcPr>
          <w:p w14:paraId="0E33D59E">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8</w:t>
            </w:r>
          </w:p>
        </w:tc>
        <w:tc>
          <w:tcPr>
            <w:tcW w:w="1507" w:type="dxa"/>
            <w:noWrap w:val="0"/>
            <w:vAlign w:val="top"/>
          </w:tcPr>
          <w:p w14:paraId="0F9BE0B6">
            <w:pPr>
              <w:spacing w:line="600" w:lineRule="auto"/>
              <w:jc w:val="center"/>
              <w:rPr>
                <w:rFonts w:hint="eastAsia" w:ascii="仿宋_GB2312" w:hAnsi="仿宋_GB2312" w:eastAsia="仿宋_GB2312" w:cs="仿宋_GB2312"/>
                <w:sz w:val="24"/>
                <w:szCs w:val="24"/>
                <w:lang w:val="en-US" w:eastAsia="zh-CN"/>
              </w:rPr>
            </w:pPr>
            <w:r>
              <w:rPr>
                <w:rFonts w:hint="eastAsia" w:hAnsi="仿宋_GB2312" w:cs="仿宋_GB2312"/>
                <w:sz w:val="24"/>
                <w:szCs w:val="24"/>
                <w:lang w:val="en-US" w:eastAsia="zh-CN"/>
              </w:rPr>
              <w:t>运费</w:t>
            </w:r>
          </w:p>
        </w:tc>
        <w:tc>
          <w:tcPr>
            <w:tcW w:w="1680" w:type="dxa"/>
            <w:noWrap w:val="0"/>
            <w:vAlign w:val="top"/>
          </w:tcPr>
          <w:p w14:paraId="7758B081">
            <w:pPr>
              <w:spacing w:line="600" w:lineRule="auto"/>
              <w:jc w:val="center"/>
              <w:rPr>
                <w:rFonts w:hint="eastAsia" w:ascii="仿宋_GB2312" w:hAnsi="仿宋_GB2312" w:eastAsia="仿宋_GB2312" w:cs="仿宋_GB2312"/>
                <w:sz w:val="24"/>
                <w:szCs w:val="24"/>
              </w:rPr>
            </w:pPr>
            <w:r>
              <w:rPr>
                <w:rFonts w:hint="eastAsia" w:hAnsi="仿宋_GB2312" w:cs="仿宋_GB2312"/>
                <w:sz w:val="24"/>
                <w:szCs w:val="24"/>
                <w:lang w:val="en-US" w:eastAsia="zh-CN"/>
              </w:rPr>
              <w:t>/</w:t>
            </w:r>
          </w:p>
        </w:tc>
        <w:tc>
          <w:tcPr>
            <w:tcW w:w="1245" w:type="dxa"/>
            <w:noWrap w:val="0"/>
            <w:vAlign w:val="center"/>
          </w:tcPr>
          <w:p w14:paraId="21D49E5C">
            <w:pPr>
              <w:spacing w:line="600" w:lineRule="auto"/>
              <w:jc w:val="center"/>
              <w:rPr>
                <w:rFonts w:hint="default" w:ascii="仿宋_GB2312" w:hAnsi="仿宋_GB2312" w:eastAsia="仿宋_GB2312" w:cs="仿宋_GB2312"/>
                <w:sz w:val="24"/>
                <w:szCs w:val="24"/>
                <w:lang w:val="en-US" w:eastAsia="zh-CN"/>
              </w:rPr>
            </w:pPr>
            <w:r>
              <w:rPr>
                <w:rFonts w:hint="eastAsia" w:hAnsi="仿宋_GB2312" w:cs="仿宋_GB2312"/>
                <w:sz w:val="24"/>
                <w:szCs w:val="24"/>
                <w:lang w:val="en-US" w:eastAsia="zh-CN"/>
              </w:rPr>
              <w:t>辆</w:t>
            </w:r>
          </w:p>
        </w:tc>
        <w:tc>
          <w:tcPr>
            <w:tcW w:w="2010" w:type="dxa"/>
            <w:noWrap w:val="0"/>
            <w:vAlign w:val="center"/>
          </w:tcPr>
          <w:p w14:paraId="1AEE3B25">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ascii="Times New Roman" w:hAnsi="Times New Roman" w:cs="Times New Roman"/>
                <w:b w:val="0"/>
                <w:bCs/>
                <w:sz w:val="28"/>
                <w:szCs w:val="28"/>
                <w:highlight w:val="none"/>
                <w:shd w:val="clear" w:color="auto" w:fill="FFFFFF"/>
                <w:lang w:val="en-US" w:eastAsia="zh-CN"/>
              </w:rPr>
              <w:t>0.28</w:t>
            </w:r>
          </w:p>
        </w:tc>
        <w:tc>
          <w:tcPr>
            <w:tcW w:w="2072" w:type="dxa"/>
            <w:noWrap w:val="0"/>
            <w:vAlign w:val="center"/>
          </w:tcPr>
          <w:p w14:paraId="4F231E5D">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val="0"/>
                <w:bCs/>
                <w:sz w:val="28"/>
                <w:szCs w:val="28"/>
                <w:highlight w:val="none"/>
                <w:shd w:val="clear" w:color="auto" w:fill="FFFFFF"/>
                <w:lang w:val="en-US" w:eastAsia="zh-CN"/>
              </w:rPr>
            </w:pPr>
            <w:r>
              <w:rPr>
                <w:rFonts w:hint="eastAsia" w:hAnsi="仿宋_GB2312" w:cs="仿宋_GB2312"/>
                <w:sz w:val="24"/>
                <w:szCs w:val="24"/>
                <w:lang w:val="en-US" w:eastAsia="zh-CN"/>
              </w:rPr>
              <w:t>/</w:t>
            </w:r>
          </w:p>
        </w:tc>
      </w:tr>
    </w:tbl>
    <w:p w14:paraId="5CFD9D78">
      <w:pPr>
        <w:numPr>
          <w:ilvl w:val="0"/>
          <w:numId w:val="0"/>
        </w:numPr>
        <w:shd w:val="clear" w:color="auto" w:fill="FFFFFF"/>
        <w:tabs>
          <w:tab w:val="left" w:pos="720"/>
          <w:tab w:val="left" w:pos="900"/>
        </w:tabs>
        <w:snapToGrid w:val="0"/>
        <w:spacing w:line="560" w:lineRule="exact"/>
        <w:ind w:firstLine="320" w:firstLineChars="100"/>
        <w:rPr>
          <w:rFonts w:hint="default" w:ascii="Times New Roman" w:eastAsia="黑体" w:cs="Times New Roman"/>
          <w:sz w:val="32"/>
          <w:szCs w:val="32"/>
          <w:shd w:val="clear" w:color="auto" w:fill="FFFFFF"/>
          <w:lang w:val="en-US" w:eastAsia="zh-CN"/>
        </w:rPr>
      </w:pPr>
    </w:p>
    <w:p w14:paraId="03E40C37">
      <w:pPr>
        <w:pStyle w:val="10"/>
        <w:numPr>
          <w:ilvl w:val="0"/>
          <w:numId w:val="0"/>
        </w:numPr>
        <w:spacing w:line="360" w:lineRule="auto"/>
        <w:ind w:firstLine="640" w:firstLineChars="200"/>
        <w:contextualSpacing/>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1.供应商应严格按照《危险废物转移管理办法》的有关规定完善危险废物的转移手续。</w:t>
      </w:r>
    </w:p>
    <w:p w14:paraId="0F4EC42B">
      <w:pPr>
        <w:pStyle w:val="10"/>
        <w:spacing w:line="360" w:lineRule="auto"/>
        <w:ind w:firstLine="480"/>
        <w:contextualSpacing/>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2.</w:t>
      </w:r>
      <w:r>
        <w:rPr>
          <w:rFonts w:hint="eastAsia" w:hAnsi="仿宋_GB2312" w:cs="仿宋_GB2312"/>
          <w:kern w:val="2"/>
          <w:sz w:val="32"/>
          <w:szCs w:val="32"/>
          <w:shd w:val="clear" w:color="auto" w:fill="FFFFFF"/>
          <w:lang w:val="en-US" w:eastAsia="zh-CN" w:bidi="ar-SA"/>
        </w:rPr>
        <w:t>供应商</w:t>
      </w:r>
      <w:r>
        <w:rPr>
          <w:rFonts w:hint="eastAsia" w:ascii="仿宋_GB2312" w:hAnsi="仿宋_GB2312" w:eastAsia="仿宋_GB2312" w:cs="仿宋_GB2312"/>
          <w:kern w:val="2"/>
          <w:sz w:val="32"/>
          <w:szCs w:val="32"/>
          <w:shd w:val="clear" w:color="auto" w:fill="FFFFFF"/>
          <w:lang w:val="en-US" w:eastAsia="zh-CN" w:bidi="ar-SA"/>
        </w:rPr>
        <w:t>应确认</w:t>
      </w:r>
      <w:r>
        <w:rPr>
          <w:rFonts w:hint="eastAsia" w:hAnsi="仿宋_GB2312" w:cs="仿宋_GB2312"/>
          <w:kern w:val="2"/>
          <w:sz w:val="32"/>
          <w:szCs w:val="32"/>
          <w:shd w:val="clear" w:color="auto" w:fill="FFFFFF"/>
          <w:lang w:val="en-US" w:eastAsia="zh-CN" w:bidi="ar-SA"/>
        </w:rPr>
        <w:t>比选人</w:t>
      </w:r>
      <w:r>
        <w:rPr>
          <w:rFonts w:hint="eastAsia" w:ascii="仿宋_GB2312" w:hAnsi="仿宋_GB2312" w:eastAsia="仿宋_GB2312" w:cs="仿宋_GB2312"/>
          <w:kern w:val="2"/>
          <w:sz w:val="32"/>
          <w:szCs w:val="32"/>
          <w:shd w:val="clear" w:color="auto" w:fill="FFFFFF"/>
          <w:lang w:val="en-US" w:eastAsia="zh-CN" w:bidi="ar-SA"/>
        </w:rPr>
        <w:t>已申报危险废物转移计划并领取危险废物转移联单后，方可按双方确认的危险废物转移时间到</w:t>
      </w:r>
      <w:r>
        <w:rPr>
          <w:rFonts w:hint="eastAsia" w:hAnsi="仿宋_GB2312" w:cs="仿宋_GB2312"/>
          <w:kern w:val="2"/>
          <w:sz w:val="32"/>
          <w:szCs w:val="32"/>
          <w:shd w:val="clear" w:color="auto" w:fill="FFFFFF"/>
          <w:lang w:val="en-US" w:eastAsia="zh-CN" w:bidi="ar-SA"/>
        </w:rPr>
        <w:t>比选人</w:t>
      </w:r>
      <w:r>
        <w:rPr>
          <w:rFonts w:hint="eastAsia" w:ascii="仿宋_GB2312" w:hAnsi="仿宋_GB2312" w:eastAsia="仿宋_GB2312" w:cs="仿宋_GB2312"/>
          <w:kern w:val="2"/>
          <w:sz w:val="32"/>
          <w:szCs w:val="32"/>
          <w:shd w:val="clear" w:color="auto" w:fill="FFFFFF"/>
          <w:lang w:val="en-US" w:eastAsia="zh-CN" w:bidi="ar-SA"/>
        </w:rPr>
        <w:t>转运危险废物。</w:t>
      </w:r>
    </w:p>
    <w:p w14:paraId="0EF6AB94">
      <w:pPr>
        <w:pStyle w:val="10"/>
        <w:spacing w:line="360" w:lineRule="auto"/>
        <w:ind w:firstLine="480"/>
        <w:contextualSpacing/>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3.</w:t>
      </w:r>
      <w:r>
        <w:rPr>
          <w:rFonts w:hint="eastAsia" w:hAnsi="仿宋_GB2312" w:cs="仿宋_GB2312"/>
          <w:kern w:val="2"/>
          <w:sz w:val="32"/>
          <w:szCs w:val="32"/>
          <w:shd w:val="clear" w:color="auto" w:fill="FFFFFF"/>
          <w:lang w:val="en-US" w:eastAsia="zh-CN" w:bidi="ar-SA"/>
        </w:rPr>
        <w:t>供应商</w:t>
      </w:r>
      <w:r>
        <w:rPr>
          <w:rFonts w:hint="eastAsia" w:ascii="仿宋_GB2312" w:hAnsi="仿宋_GB2312" w:eastAsia="仿宋_GB2312" w:cs="仿宋_GB2312"/>
          <w:kern w:val="2"/>
          <w:sz w:val="32"/>
          <w:szCs w:val="32"/>
          <w:shd w:val="clear" w:color="auto" w:fill="FFFFFF"/>
          <w:lang w:val="en-US" w:eastAsia="zh-CN" w:bidi="ar-SA"/>
        </w:rPr>
        <w:t>必须按照环境保护、安全生产等有关法律法规、标准规范的规定对危险废物按照废物类型规范贮存和安全转运、处置。</w:t>
      </w:r>
    </w:p>
    <w:p w14:paraId="23C7CB5E">
      <w:pPr>
        <w:numPr>
          <w:ilvl w:val="0"/>
          <w:numId w:val="0"/>
        </w:numPr>
        <w:ind w:firstLine="640" w:firstLineChars="200"/>
        <w:jc w:val="left"/>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4.危险废物转运至供应商运输车辆上且移出医院生产管理区域后的运输、贮存及处置过程中发生环境污染事故及安全事故所产生的损失由</w:t>
      </w:r>
      <w:r>
        <w:rPr>
          <w:rFonts w:hint="eastAsia" w:hAnsi="仿宋_GB2312" w:cs="仿宋_GB2312"/>
          <w:kern w:val="2"/>
          <w:sz w:val="32"/>
          <w:szCs w:val="32"/>
          <w:shd w:val="clear" w:color="auto" w:fill="FFFFFF"/>
          <w:lang w:val="en-US" w:eastAsia="zh-CN" w:bidi="ar-SA"/>
        </w:rPr>
        <w:t>供应商</w:t>
      </w:r>
      <w:r>
        <w:rPr>
          <w:rFonts w:hint="eastAsia" w:ascii="仿宋_GB2312" w:hAnsi="仿宋_GB2312" w:eastAsia="仿宋_GB2312" w:cs="仿宋_GB2312"/>
          <w:kern w:val="2"/>
          <w:sz w:val="32"/>
          <w:szCs w:val="32"/>
          <w:shd w:val="clear" w:color="auto" w:fill="FFFFFF"/>
          <w:lang w:val="en-US" w:eastAsia="zh-CN" w:bidi="ar-SA"/>
        </w:rPr>
        <w:t>承担，与医院</w:t>
      </w:r>
      <w:r>
        <w:rPr>
          <w:rFonts w:hint="eastAsia" w:hAnsi="仿宋_GB2312" w:cs="仿宋_GB2312"/>
          <w:kern w:val="2"/>
          <w:sz w:val="32"/>
          <w:szCs w:val="32"/>
          <w:shd w:val="clear" w:color="auto" w:fill="FFFFFF"/>
          <w:lang w:val="en-US" w:eastAsia="zh-CN" w:bidi="ar-SA"/>
        </w:rPr>
        <w:t>无关</w:t>
      </w:r>
      <w:r>
        <w:rPr>
          <w:rFonts w:hint="eastAsia" w:ascii="仿宋_GB2312" w:hAnsi="仿宋_GB2312" w:eastAsia="仿宋_GB2312" w:cs="仿宋_GB2312"/>
          <w:kern w:val="2"/>
          <w:sz w:val="32"/>
          <w:szCs w:val="32"/>
          <w:shd w:val="clear" w:color="auto" w:fill="FFFFFF"/>
          <w:lang w:val="en-US" w:eastAsia="zh-CN" w:bidi="ar-SA"/>
        </w:rPr>
        <w:t>。</w:t>
      </w:r>
    </w:p>
    <w:p w14:paraId="6A366FA8">
      <w:pPr>
        <w:numPr>
          <w:ilvl w:val="0"/>
          <w:numId w:val="0"/>
        </w:numPr>
        <w:ind w:firstLine="640" w:firstLineChars="200"/>
        <w:jc w:val="left"/>
        <w:rPr>
          <w:rFonts w:hint="default" w:ascii="方正仿宋_GB2312" w:hAnsi="方正仿宋_GB2312" w:eastAsia="方正仿宋_GB2312" w:cs="方正仿宋_GB2312"/>
          <w:b/>
          <w:bCs/>
          <w:sz w:val="30"/>
          <w:szCs w:val="30"/>
          <w:lang w:val="en-US" w:eastAsia="zh-CN"/>
        </w:rPr>
      </w:pPr>
      <w:r>
        <w:rPr>
          <w:rFonts w:hint="eastAsia" w:hAnsi="仿宋_GB2312" w:cs="仿宋_GB2312"/>
          <w:kern w:val="2"/>
          <w:sz w:val="32"/>
          <w:szCs w:val="32"/>
          <w:shd w:val="clear" w:color="auto" w:fill="FFFFFF"/>
          <w:lang w:val="en-US" w:eastAsia="zh-CN" w:bidi="ar-SA"/>
        </w:rPr>
        <w:t>5.供应商应具有</w:t>
      </w:r>
      <w:r>
        <w:rPr>
          <w:rFonts w:hint="eastAsia" w:ascii="方正仿宋_GB2312" w:hAnsi="方正仿宋_GB2312" w:eastAsia="方正仿宋_GB2312" w:cs="方正仿宋_GB2312"/>
          <w:sz w:val="30"/>
          <w:szCs w:val="30"/>
          <w:lang w:val="en-US" w:eastAsia="zh-CN"/>
        </w:rPr>
        <w:t>《危险废物经营许可证》，处置类型包括：实验室废液，废物代码：900-047-49；活性炭，废物代码：900-039-49；无机废液，900-047-49；过期药品，废物代码；900-002-03；废硒鼓，废物代码：900-299-12；含汞废物，废物代码：900-024-29。</w:t>
      </w:r>
      <w:r>
        <w:rPr>
          <w:rFonts w:hint="eastAsia" w:ascii="方正仿宋_GB2312" w:hAnsi="方正仿宋_GB2312" w:eastAsia="方正仿宋_GB2312" w:cs="方正仿宋_GB2312"/>
          <w:b/>
          <w:bCs/>
          <w:sz w:val="30"/>
          <w:szCs w:val="30"/>
          <w:lang w:val="en-US" w:eastAsia="zh-CN"/>
        </w:rPr>
        <w:t>（提供证书复印件加盖公司公章）</w:t>
      </w:r>
    </w:p>
    <w:p w14:paraId="4F38CACC">
      <w:pPr>
        <w:numPr>
          <w:ilvl w:val="0"/>
          <w:numId w:val="0"/>
        </w:numPr>
        <w:ind w:firstLine="640" w:firstLineChars="200"/>
        <w:jc w:val="left"/>
        <w:rPr>
          <w:rFonts w:hint="default" w:ascii="方正仿宋_GB2312" w:hAnsi="方正仿宋_GB2312" w:eastAsia="方正仿宋_GB2312" w:cs="方正仿宋_GB2312"/>
          <w:sz w:val="30"/>
          <w:szCs w:val="30"/>
          <w:lang w:val="en-US" w:eastAsia="zh-CN"/>
        </w:rPr>
      </w:pPr>
      <w:r>
        <w:rPr>
          <w:rFonts w:hint="eastAsia" w:ascii="仿宋_GB2312" w:hAnsi="仿宋_GB2312" w:eastAsia="仿宋_GB2312" w:cs="仿宋_GB2312"/>
          <w:kern w:val="2"/>
          <w:sz w:val="32"/>
          <w:szCs w:val="32"/>
          <w:shd w:val="clear" w:color="auto" w:fill="FFFFFF"/>
          <w:lang w:val="en-US" w:eastAsia="zh-CN" w:bidi="ar-SA"/>
        </w:rPr>
        <w:t>6.</w:t>
      </w:r>
      <w:r>
        <w:rPr>
          <w:rFonts w:hint="eastAsia" w:hAnsi="仿宋_GB2312" w:cs="仿宋_GB2312"/>
          <w:kern w:val="2"/>
          <w:sz w:val="32"/>
          <w:szCs w:val="32"/>
          <w:shd w:val="clear" w:color="auto" w:fill="FFFFFF"/>
          <w:lang w:val="en-US" w:eastAsia="zh-CN" w:bidi="ar-SA"/>
        </w:rPr>
        <w:t>供应商应具有</w:t>
      </w:r>
      <w:r>
        <w:rPr>
          <w:rFonts w:hint="eastAsia" w:ascii="方正仿宋_GB2312" w:hAnsi="方正仿宋_GB2312" w:eastAsia="方正仿宋_GB2312" w:cs="方正仿宋_GB2312"/>
          <w:sz w:val="30"/>
          <w:szCs w:val="30"/>
          <w:lang w:val="en-US" w:eastAsia="zh-CN"/>
        </w:rPr>
        <w:t>《道路运输经营许可证》，经营范围包括：危险废物。</w:t>
      </w:r>
      <w:r>
        <w:rPr>
          <w:rFonts w:hint="eastAsia" w:ascii="方正仿宋_GB2312" w:hAnsi="方正仿宋_GB2312" w:eastAsia="方正仿宋_GB2312" w:cs="方正仿宋_GB2312"/>
          <w:b/>
          <w:bCs/>
          <w:sz w:val="30"/>
          <w:szCs w:val="30"/>
          <w:lang w:val="en-US" w:eastAsia="zh-CN"/>
        </w:rPr>
        <w:t>（提供证书复印件加盖公司公章）</w:t>
      </w:r>
    </w:p>
    <w:p w14:paraId="33D7AC9F">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3EACEE3E">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404FF8E5">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7CDE16AC">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1E6CC7A9">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1334D9B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1.服务期限：自合同签订之日起三年。</w:t>
      </w:r>
    </w:p>
    <w:p w14:paraId="2EA6CFCF">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2.报价：本项目预算18万元/年,一采三年；报价超过</w:t>
      </w:r>
      <w:r>
        <w:rPr>
          <w:rFonts w:hint="eastAsia" w:hAnsi="仿宋_GB2312" w:cs="仿宋_GB2312"/>
          <w:sz w:val="32"/>
          <w:szCs w:val="32"/>
          <w:shd w:val="clear" w:color="auto" w:fill="FFFFFF"/>
          <w:lang w:val="en-US" w:eastAsia="zh-CN"/>
        </w:rPr>
        <w:t>清单单价限价及</w:t>
      </w:r>
      <w:r>
        <w:rPr>
          <w:rFonts w:hint="eastAsia" w:ascii="仿宋_GB2312" w:hAnsi="仿宋_GB2312" w:eastAsia="仿宋_GB2312" w:cs="仿宋_GB2312"/>
          <w:sz w:val="32"/>
          <w:szCs w:val="32"/>
          <w:shd w:val="clear" w:color="auto" w:fill="FFFFFF"/>
          <w:lang w:val="en-US" w:eastAsia="zh-CN"/>
        </w:rPr>
        <w:t>采购预算，其比选申请文件按无效处理。</w:t>
      </w:r>
    </w:p>
    <w:p w14:paraId="4A4EB57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3.付款方式：合同签订后，按医院付款流程支付。</w:t>
      </w:r>
    </w:p>
    <w:p w14:paraId="65E9F5F6">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4.服务地点：成都市中西医结合医院南区。</w:t>
      </w:r>
    </w:p>
    <w:p w14:paraId="2C9A304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5.验收要求：</w:t>
      </w:r>
      <w:r>
        <w:rPr>
          <w:rFonts w:hint="eastAsia" w:hAnsi="仿宋_GB2312" w:cs="仿宋_GB2312"/>
          <w:sz w:val="32"/>
          <w:szCs w:val="32"/>
          <w:shd w:val="clear" w:color="auto" w:fill="FFFFFF"/>
          <w:lang w:val="en-US" w:eastAsia="zh-CN"/>
        </w:rPr>
        <w:t>按照</w:t>
      </w:r>
      <w:r>
        <w:rPr>
          <w:rFonts w:hint="eastAsia" w:ascii="仿宋_GB2312" w:hAnsi="仿宋_GB2312" w:eastAsia="仿宋_GB2312" w:cs="仿宋_GB2312"/>
          <w:sz w:val="32"/>
          <w:szCs w:val="32"/>
          <w:shd w:val="clear" w:color="auto" w:fill="FFFFFF"/>
          <w:lang w:val="en-US" w:eastAsia="zh-CN"/>
        </w:rPr>
        <w:t>相关法律法规的要求进行履约验收。</w:t>
      </w:r>
    </w:p>
    <w:p w14:paraId="212187FB">
      <w:pPr>
        <w:shd w:val="clear" w:color="auto" w:fill="FFFFFF"/>
        <w:tabs>
          <w:tab w:val="left" w:pos="720"/>
          <w:tab w:val="left" w:pos="900"/>
        </w:tabs>
        <w:adjustRightInd w:val="0"/>
        <w:snapToGrid w:val="0"/>
        <w:spacing w:line="560" w:lineRule="exact"/>
        <w:ind w:firstLine="643" w:firstLineChars="200"/>
        <w:rPr>
          <w:rFonts w:hint="default" w:ascii="Times New Roman" w:hAnsi="Times New Roman" w:cs="Times New Roman"/>
          <w:sz w:val="32"/>
          <w:szCs w:val="32"/>
          <w:shd w:val="clear" w:color="auto" w:fill="FFFFFF"/>
          <w:lang w:val="en-US" w:eastAsia="zh-CN"/>
        </w:rPr>
      </w:pPr>
      <w:r>
        <w:rPr>
          <w:rFonts w:hint="eastAsia" w:ascii="Times New Roman" w:cs="Times New Roman"/>
          <w:b/>
          <w:bCs/>
          <w:sz w:val="32"/>
          <w:szCs w:val="32"/>
          <w:shd w:val="clear" w:color="auto" w:fill="FFFFFF"/>
        </w:rPr>
        <w:t>注：本章</w:t>
      </w:r>
      <w:r>
        <w:rPr>
          <w:rFonts w:hint="eastAsia" w:ascii="Times New Roman" w:cs="Times New Roman"/>
          <w:b/>
          <w:bCs/>
          <w:sz w:val="32"/>
          <w:szCs w:val="32"/>
          <w:shd w:val="clear" w:color="auto" w:fill="FFFFFF"/>
          <w:lang w:val="en-US" w:eastAsia="zh-CN"/>
        </w:rPr>
        <w:t>均</w:t>
      </w:r>
      <w:r>
        <w:rPr>
          <w:rFonts w:hint="eastAsia" w:ascii="Times New Roman" w:cs="Times New Roman"/>
          <w:b/>
          <w:bCs/>
          <w:sz w:val="32"/>
          <w:szCs w:val="32"/>
          <w:shd w:val="clear" w:color="auto" w:fill="FFFFFF"/>
        </w:rPr>
        <w:t>为实质性要求，未响应或不满足，按无效响应处理。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D8F363-D311-4C16-8AAB-8B3DCB18FC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A2B5E7-01B3-492A-A475-B1CF0706CF53}"/>
  </w:font>
  <w:font w:name="仿宋_GB2312">
    <w:altName w:val="仿宋"/>
    <w:panose1 w:val="02010609030101010101"/>
    <w:charset w:val="86"/>
    <w:family w:val="modern"/>
    <w:pitch w:val="default"/>
    <w:sig w:usb0="00000000" w:usb1="00000000" w:usb2="00000000" w:usb3="00000000" w:csb0="00040000" w:csb1="00000000"/>
    <w:embedRegular r:id="rId3" w:fontKey="{E335B873-F03F-4128-BDF5-5D4BECDBAD63}"/>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173F7F0E-8EF2-471F-B5B7-41D4F2CC1982}"/>
  </w:font>
  <w:font w:name="方正仿宋_GB2312">
    <w:panose1 w:val="02000000000000000000"/>
    <w:charset w:val="86"/>
    <w:family w:val="auto"/>
    <w:pitch w:val="default"/>
    <w:sig w:usb0="A00002BF" w:usb1="184F6CFA" w:usb2="00000012" w:usb3="00000000" w:csb0="00040001" w:csb1="00000000"/>
    <w:embedRegular r:id="rId5" w:fontKey="{021395C6-D5EF-4013-963F-65421C0872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0DA03C6"/>
    <w:rsid w:val="0B910F3B"/>
    <w:rsid w:val="13683CA5"/>
    <w:rsid w:val="13791F12"/>
    <w:rsid w:val="220D5C71"/>
    <w:rsid w:val="24772A20"/>
    <w:rsid w:val="3933030F"/>
    <w:rsid w:val="48A56F3E"/>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列出段落1"/>
    <w:basedOn w:val="1"/>
    <w:qFormat/>
    <w:uiPriority w:val="34"/>
    <w:pPr>
      <w:widowControl/>
      <w:ind w:firstLine="420" w:firstLineChars="200"/>
      <w:jc w:val="left"/>
    </w:pPr>
    <w:rPr>
      <w:rFonts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754</Words>
  <Characters>907</Characters>
  <Lines>0</Lines>
  <Paragraphs>0</Paragraphs>
  <TotalTime>0</TotalTime>
  <ScaleCrop>false</ScaleCrop>
  <LinksUpToDate>false</LinksUpToDate>
  <CharactersWithSpaces>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2025-10-09T03:04:49Z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