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982F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Calibri" w:eastAsia="方正小标宋_GBK" w:cs="Times New Roman"/>
          <w:color w:val="000000"/>
          <w:sz w:val="44"/>
          <w:szCs w:val="44"/>
        </w:rPr>
      </w:pPr>
      <w:r>
        <w:rPr>
          <w:rFonts w:hint="eastAsia" w:ascii="方正小标宋_GBK" w:hAnsi="Calibri" w:eastAsia="方正小标宋_GBK" w:cs="Times New Roman"/>
          <w:color w:val="000000"/>
          <w:sz w:val="44"/>
          <w:szCs w:val="44"/>
        </w:rPr>
        <w:t>报价函</w:t>
      </w:r>
    </w:p>
    <w:p w14:paraId="0C7FB9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sz w:val="32"/>
          <w:szCs w:val="32"/>
          <w:lang w:val="en-US" w:eastAsia="zh-CN"/>
        </w:rPr>
      </w:pPr>
    </w:p>
    <w:p w14:paraId="03C90B7B">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成都市中西医结合医院：</w:t>
      </w:r>
    </w:p>
    <w:p w14:paraId="7EF619E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color w:val="000000"/>
          <w:sz w:val="32"/>
          <w:szCs w:val="32"/>
          <w:lang w:val="en-US" w:eastAsia="zh-CN"/>
        </w:rPr>
      </w:pPr>
      <w:r>
        <w:rPr>
          <w:rFonts w:hint="eastAsia" w:ascii="方正仿宋_GBK" w:hAnsi="方正仿宋_GBK" w:eastAsia="方正仿宋_GBK" w:cs="方正仿宋_GBK"/>
          <w:color w:val="000000"/>
          <w:sz w:val="32"/>
          <w:szCs w:val="32"/>
          <w:lang w:val="en-US" w:eastAsia="zh-CN"/>
        </w:rPr>
        <w:t>根据</w:t>
      </w:r>
      <w:r>
        <w:rPr>
          <w:rFonts w:hint="eastAsia" w:ascii="方正仿宋_GB2312" w:hAnsi="方正仿宋_GB2312" w:eastAsia="方正仿宋_GB2312" w:cs="方正仿宋_GB2312"/>
          <w:sz w:val="32"/>
          <w:szCs w:val="32"/>
          <w:highlight w:val="none"/>
        </w:rPr>
        <w:t>成都市</w:t>
      </w:r>
      <w:r>
        <w:rPr>
          <w:rFonts w:hint="eastAsia" w:ascii="方正仿宋_GB2312" w:hAnsi="方正仿宋_GB2312" w:eastAsia="方正仿宋_GB2312" w:cs="方正仿宋_GB2312"/>
          <w:sz w:val="32"/>
          <w:szCs w:val="32"/>
          <w:highlight w:val="none"/>
          <w:lang w:val="en-US" w:eastAsia="zh-CN"/>
        </w:rPr>
        <w:t>中西医结合</w:t>
      </w:r>
      <w:r>
        <w:rPr>
          <w:rFonts w:hint="eastAsia" w:ascii="方正仿宋_GB2312" w:hAnsi="方正仿宋_GB2312" w:eastAsia="方正仿宋_GB2312" w:cs="方正仿宋_GB2312"/>
          <w:sz w:val="32"/>
          <w:szCs w:val="32"/>
          <w:highlight w:val="none"/>
        </w:rPr>
        <w:t>医院《当归补血汤调控枯否细胞糖酵解介导肝细胞组蛋白乳酸化促肝硬化残肝再生的作用机制》课题</w:t>
      </w:r>
      <w:r>
        <w:rPr>
          <w:rFonts w:hint="eastAsia" w:ascii="方正仿宋_GB2312" w:hAnsi="方正仿宋_GB2312" w:eastAsia="方正仿宋_GB2312" w:cs="方正仿宋_GB2312"/>
          <w:sz w:val="32"/>
          <w:szCs w:val="32"/>
          <w:highlight w:val="none"/>
          <w:lang w:val="en-US" w:eastAsia="zh-CN"/>
        </w:rPr>
        <w:t>检测服务</w:t>
      </w:r>
      <w:r>
        <w:rPr>
          <w:rFonts w:hint="eastAsia" w:ascii="方正仿宋_GB2312" w:hAnsi="方正仿宋_GB2312" w:eastAsia="方正仿宋_GB2312" w:cs="方正仿宋_GB2312"/>
          <w:sz w:val="32"/>
          <w:szCs w:val="32"/>
          <w:highlight w:val="none"/>
        </w:rPr>
        <w:t>采购项目</w:t>
      </w:r>
      <w:r>
        <w:rPr>
          <w:rFonts w:hint="eastAsia" w:ascii="方正仿宋_GBK" w:hAnsi="方正仿宋_GBK" w:eastAsia="方正仿宋_GBK" w:cs="方正仿宋_GBK"/>
          <w:color w:val="000000"/>
          <w:sz w:val="32"/>
          <w:szCs w:val="32"/>
          <w:lang w:val="en-US" w:eastAsia="zh-CN"/>
        </w:rPr>
        <w:t>需求，我公司仔细研究，具体报价如下：</w:t>
      </w:r>
    </w:p>
    <w:p w14:paraId="0D8E4054">
      <w:pPr>
        <w:rPr>
          <w:rFonts w:hint="eastAsia"/>
        </w:rPr>
      </w:pPr>
    </w:p>
    <w:p w14:paraId="5C230960">
      <w:pPr>
        <w:rPr>
          <w:rFonts w:hint="eastAsia"/>
        </w:rPr>
      </w:pP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200"/>
        <w:gridCol w:w="2475"/>
        <w:gridCol w:w="812"/>
        <w:gridCol w:w="850"/>
        <w:gridCol w:w="1163"/>
        <w:gridCol w:w="1162"/>
      </w:tblGrid>
      <w:tr w14:paraId="4FBB6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BBAB2F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序号</w:t>
            </w:r>
          </w:p>
        </w:tc>
        <w:tc>
          <w:tcPr>
            <w:tcW w:w="1200" w:type="dxa"/>
            <w:vAlign w:val="center"/>
          </w:tcPr>
          <w:p w14:paraId="735D237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名称</w:t>
            </w:r>
          </w:p>
        </w:tc>
        <w:tc>
          <w:tcPr>
            <w:tcW w:w="2475" w:type="dxa"/>
            <w:vAlign w:val="center"/>
          </w:tcPr>
          <w:p w14:paraId="328F2AE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参数</w:t>
            </w:r>
          </w:p>
        </w:tc>
        <w:tc>
          <w:tcPr>
            <w:tcW w:w="812" w:type="dxa"/>
            <w:vAlign w:val="center"/>
          </w:tcPr>
          <w:p w14:paraId="3FC150D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数量</w:t>
            </w:r>
          </w:p>
        </w:tc>
        <w:tc>
          <w:tcPr>
            <w:tcW w:w="850" w:type="dxa"/>
            <w:vAlign w:val="center"/>
          </w:tcPr>
          <w:p w14:paraId="492007E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规格</w:t>
            </w:r>
          </w:p>
        </w:tc>
        <w:tc>
          <w:tcPr>
            <w:tcW w:w="1163" w:type="dxa"/>
            <w:vAlign w:val="center"/>
          </w:tcPr>
          <w:p w14:paraId="29F94FF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单价（元）</w:t>
            </w:r>
          </w:p>
        </w:tc>
        <w:tc>
          <w:tcPr>
            <w:tcW w:w="1162" w:type="dxa"/>
            <w:vAlign w:val="center"/>
          </w:tcPr>
          <w:p w14:paraId="569DA40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总价（元）</w:t>
            </w:r>
          </w:p>
        </w:tc>
      </w:tr>
      <w:tr w14:paraId="54143B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209881F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1</w:t>
            </w:r>
          </w:p>
        </w:tc>
        <w:tc>
          <w:tcPr>
            <w:tcW w:w="1200" w:type="dxa"/>
            <w:vAlign w:val="center"/>
          </w:tcPr>
          <w:p w14:paraId="56D6531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搭建完整人类蛋白质相互作用网络</w:t>
            </w:r>
          </w:p>
        </w:tc>
        <w:tc>
          <w:tcPr>
            <w:tcW w:w="2475" w:type="dxa"/>
            <w:vAlign w:val="center"/>
          </w:tcPr>
          <w:p w14:paraId="5E2655D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通过系统整合已知的蛋白质相互作用数据库并进行数据质量控制，搭建完整的人类蛋白质网络</w:t>
            </w:r>
          </w:p>
        </w:tc>
        <w:tc>
          <w:tcPr>
            <w:tcW w:w="812" w:type="dxa"/>
            <w:vAlign w:val="center"/>
          </w:tcPr>
          <w:p w14:paraId="6C44323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w:t>
            </w:r>
          </w:p>
        </w:tc>
        <w:tc>
          <w:tcPr>
            <w:tcW w:w="850" w:type="dxa"/>
            <w:vAlign w:val="center"/>
          </w:tcPr>
          <w:p w14:paraId="024A739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项</w:t>
            </w:r>
          </w:p>
        </w:tc>
        <w:tc>
          <w:tcPr>
            <w:tcW w:w="1163" w:type="dxa"/>
            <w:vAlign w:val="center"/>
          </w:tcPr>
          <w:p w14:paraId="4BC3158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6EE7CE1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r w14:paraId="71EFD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301876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2</w:t>
            </w:r>
          </w:p>
        </w:tc>
        <w:tc>
          <w:tcPr>
            <w:tcW w:w="1200" w:type="dxa"/>
            <w:vAlign w:val="center"/>
          </w:tcPr>
          <w:p w14:paraId="4A0AD6B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网络分离度(network separation)</w:t>
            </w:r>
          </w:p>
        </w:tc>
        <w:tc>
          <w:tcPr>
            <w:tcW w:w="2475" w:type="dxa"/>
            <w:vAlign w:val="center"/>
          </w:tcPr>
          <w:p w14:paraId="77D3932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bookmarkStart w:id="0" w:name="OLE_LINK5"/>
            <w:bookmarkStart w:id="1" w:name="OLE_LINK3"/>
            <w:bookmarkStart w:id="2" w:name="OLE_LINK6"/>
            <w:r>
              <w:rPr>
                <w:rFonts w:hint="eastAsia" w:ascii="方正仿宋_GB2312" w:hAnsi="方正仿宋_GB2312" w:eastAsia="方正仿宋_GB2312" w:cs="方正仿宋_GB2312"/>
                <w:color w:val="000000"/>
                <w:kern w:val="0"/>
                <w:sz w:val="22"/>
                <w:szCs w:val="22"/>
              </w:rPr>
              <w:t>除直接的平均网络距离</w:t>
            </w:r>
            <m:oMath>
              <m:d>
                <m:dPr>
                  <m:begChr m:val="〈"/>
                  <m:endChr m:val="〉"/>
                  <m:ctrlPr>
                    <w:rPr>
                      <w:rFonts w:hint="eastAsia" w:ascii="Cambria Math" w:hAnsi="Cambria Math" w:eastAsia="方正仿宋_GB2312" w:cs="方正仿宋_GB2312"/>
                      <w:i/>
                      <w:sz w:val="22"/>
                      <w:szCs w:val="22"/>
                    </w:rPr>
                  </m:ctrlPr>
                </m:dPr>
                <m:e>
                  <m:sSub>
                    <m:sSubPr>
                      <m:ctrlPr>
                        <w:rPr>
                          <w:rFonts w:hint="eastAsia" w:ascii="Cambria Math" w:hAnsi="Cambria Math" w:eastAsia="方正仿宋_GB2312" w:cs="方正仿宋_GB2312"/>
                          <w:i/>
                          <w:sz w:val="22"/>
                          <w:szCs w:val="22"/>
                        </w:rPr>
                      </m:ctrlPr>
                    </m:sSubPr>
                    <m:e>
                      <m:r>
                        <m:rPr/>
                        <w:rPr>
                          <w:rFonts w:hint="eastAsia" w:ascii="Cambria Math" w:hAnsi="Cambria Math" w:eastAsia="方正仿宋_GB2312" w:cs="方正仿宋_GB2312"/>
                          <w:sz w:val="22"/>
                          <w:szCs w:val="22"/>
                        </w:rPr>
                        <m:t>d</m:t>
                      </m:r>
                      <m:ctrlPr>
                        <w:rPr>
                          <w:rFonts w:hint="eastAsia" w:ascii="Cambria Math" w:hAnsi="Cambria Math" w:eastAsia="方正仿宋_GB2312" w:cs="方正仿宋_GB2312"/>
                          <w:i/>
                          <w:sz w:val="22"/>
                          <w:szCs w:val="22"/>
                        </w:rPr>
                      </m:ctrlPr>
                    </m:e>
                    <m:sub>
                      <m:r>
                        <m:rPr/>
                        <w:rPr>
                          <w:rFonts w:hint="eastAsia" w:ascii="Cambria Math" w:hAnsi="Cambria Math" w:eastAsia="方正仿宋_GB2312" w:cs="方正仿宋_GB2312"/>
                          <w:sz w:val="22"/>
                          <w:szCs w:val="22"/>
                        </w:rPr>
                        <m:t>AB</m:t>
                      </m:r>
                      <m:ctrlPr>
                        <w:rPr>
                          <w:rFonts w:hint="eastAsia" w:ascii="Cambria Math" w:hAnsi="Cambria Math" w:eastAsia="方正仿宋_GB2312" w:cs="方正仿宋_GB2312"/>
                          <w:i/>
                          <w:sz w:val="22"/>
                          <w:szCs w:val="22"/>
                        </w:rPr>
                      </m:ctrlPr>
                    </m:sub>
                  </m:sSub>
                  <m:ctrlPr>
                    <w:rPr>
                      <w:rFonts w:hint="eastAsia" w:ascii="Cambria Math" w:hAnsi="Cambria Math" w:eastAsia="方正仿宋_GB2312" w:cs="方正仿宋_GB2312"/>
                      <w:i/>
                      <w:sz w:val="22"/>
                      <w:szCs w:val="22"/>
                    </w:rPr>
                  </m:ctrlPr>
                </m:e>
              </m:d>
            </m:oMath>
            <w:r>
              <w:rPr>
                <w:rFonts w:hint="eastAsia" w:ascii="方正仿宋_GB2312" w:hAnsi="方正仿宋_GB2312" w:eastAsia="方正仿宋_GB2312" w:cs="方正仿宋_GB2312"/>
                <w:color w:val="000000"/>
                <w:kern w:val="0"/>
                <w:sz w:val="22"/>
                <w:szCs w:val="22"/>
              </w:rPr>
              <w:t>（即节点集A、B之间的节点平均距离)外，还可以用网络分离度描述节点间的距</w:t>
            </w:r>
            <w:bookmarkEnd w:id="0"/>
            <w:r>
              <w:rPr>
                <w:rFonts w:hint="eastAsia" w:ascii="方正仿宋_GB2312" w:hAnsi="方正仿宋_GB2312" w:eastAsia="方正仿宋_GB2312" w:cs="方正仿宋_GB2312"/>
                <w:color w:val="000000"/>
                <w:kern w:val="0"/>
                <w:sz w:val="22"/>
                <w:szCs w:val="22"/>
              </w:rPr>
              <w:t>离</w:t>
            </w:r>
            <w:bookmarkEnd w:id="1"/>
            <w:r>
              <w:rPr>
                <w:rFonts w:hint="eastAsia" w:ascii="方正仿宋_GB2312" w:hAnsi="方正仿宋_GB2312" w:eastAsia="方正仿宋_GB2312" w:cs="方正仿宋_GB2312"/>
                <w:color w:val="000000"/>
                <w:kern w:val="0"/>
                <w:sz w:val="22"/>
                <w:szCs w:val="22"/>
              </w:rPr>
              <w:t>。</w:t>
            </w:r>
            <w:bookmarkEnd w:id="2"/>
          </w:p>
        </w:tc>
        <w:tc>
          <w:tcPr>
            <w:tcW w:w="812" w:type="dxa"/>
            <w:vAlign w:val="center"/>
          </w:tcPr>
          <w:p w14:paraId="32AA21D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w:t>
            </w:r>
          </w:p>
        </w:tc>
        <w:tc>
          <w:tcPr>
            <w:tcW w:w="850" w:type="dxa"/>
            <w:vAlign w:val="center"/>
          </w:tcPr>
          <w:p w14:paraId="7C5D4FB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项</w:t>
            </w:r>
          </w:p>
        </w:tc>
        <w:tc>
          <w:tcPr>
            <w:tcW w:w="1163" w:type="dxa"/>
            <w:vAlign w:val="center"/>
          </w:tcPr>
          <w:p w14:paraId="787FB08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30688AB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r w14:paraId="7A5D5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4AD0739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3</w:t>
            </w:r>
          </w:p>
        </w:tc>
        <w:tc>
          <w:tcPr>
            <w:tcW w:w="1200" w:type="dxa"/>
            <w:vAlign w:val="center"/>
          </w:tcPr>
          <w:p w14:paraId="309C824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网络邻近度（Network proximity）</w:t>
            </w:r>
          </w:p>
        </w:tc>
        <w:tc>
          <w:tcPr>
            <w:tcW w:w="2475" w:type="dxa"/>
            <w:vAlign w:val="center"/>
          </w:tcPr>
          <w:p w14:paraId="0E7D553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color w:val="000000"/>
                <w:kern w:val="0"/>
                <w:sz w:val="22"/>
                <w:szCs w:val="22"/>
              </w:rPr>
              <w:t>描述药物/中药或化合物的靶标集</w:t>
            </w:r>
            <w:bookmarkStart w:id="3" w:name="_GoBack"/>
            <w:bookmarkEnd w:id="3"/>
            <w:r>
              <w:rPr>
                <w:rFonts w:hint="eastAsia" w:ascii="方正仿宋_GB2312" w:hAnsi="方正仿宋_GB2312" w:eastAsia="方正仿宋_GB2312" w:cs="方正仿宋_GB2312"/>
                <w:color w:val="000000"/>
                <w:kern w:val="0"/>
                <w:sz w:val="22"/>
                <w:szCs w:val="22"/>
              </w:rPr>
              <w:t>和症状关联蛋白集</w:t>
            </w:r>
            <w:r>
              <w:rPr>
                <w:rFonts w:hint="eastAsia" w:ascii="方正仿宋_GB2312" w:hAnsi="方正仿宋_GB2312" w:eastAsia="方正仿宋_GB2312" w:cs="方正仿宋_GB2312"/>
                <w:kern w:val="0"/>
                <w:sz w:val="22"/>
                <w:szCs w:val="22"/>
              </w:rPr>
              <w:t>S之间邻近程度</w:t>
            </w:r>
            <w:r>
              <w:rPr>
                <w:rFonts w:hint="eastAsia" w:ascii="方正仿宋_GB2312" w:hAnsi="方正仿宋_GB2312" w:eastAsia="方正仿宋_GB2312" w:cs="方正仿宋_GB2312"/>
                <w:color w:val="000000"/>
                <w:kern w:val="0"/>
                <w:sz w:val="22"/>
                <w:szCs w:val="22"/>
              </w:rPr>
              <w:t>的网络指标</w:t>
            </w:r>
          </w:p>
        </w:tc>
        <w:tc>
          <w:tcPr>
            <w:tcW w:w="812" w:type="dxa"/>
            <w:vAlign w:val="center"/>
          </w:tcPr>
          <w:p w14:paraId="735BDCD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1</w:t>
            </w:r>
          </w:p>
        </w:tc>
        <w:tc>
          <w:tcPr>
            <w:tcW w:w="850" w:type="dxa"/>
            <w:vAlign w:val="center"/>
          </w:tcPr>
          <w:p w14:paraId="41438FA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eastAsia="zh-CN"/>
              </w:rPr>
            </w:pPr>
            <w:r>
              <w:rPr>
                <w:rFonts w:hint="eastAsia" w:ascii="方正仿宋_GB2312" w:hAnsi="方正仿宋_GB2312" w:eastAsia="方正仿宋_GB2312" w:cs="方正仿宋_GB2312"/>
                <w:sz w:val="22"/>
                <w:szCs w:val="22"/>
                <w:lang w:val="en-US" w:eastAsia="zh-CN"/>
              </w:rPr>
              <w:t>项</w:t>
            </w:r>
          </w:p>
        </w:tc>
        <w:tc>
          <w:tcPr>
            <w:tcW w:w="1163" w:type="dxa"/>
            <w:vAlign w:val="center"/>
          </w:tcPr>
          <w:p w14:paraId="3AB719CD">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267013B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r w14:paraId="4607F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3DEE457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4</w:t>
            </w:r>
          </w:p>
        </w:tc>
        <w:tc>
          <w:tcPr>
            <w:tcW w:w="1200" w:type="dxa"/>
            <w:vAlign w:val="center"/>
          </w:tcPr>
          <w:p w14:paraId="4E10A30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单体分子筛选</w:t>
            </w:r>
          </w:p>
        </w:tc>
        <w:tc>
          <w:tcPr>
            <w:tcW w:w="2475" w:type="dxa"/>
            <w:vAlign w:val="center"/>
          </w:tcPr>
          <w:p w14:paraId="4B7AF4F2">
            <w:pPr>
              <w:pStyle w:val="38"/>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批量检索当归补血汤的化学成分，筛选出具有潜在活性的单体分子，形成《单体分子初筛清单》，完成 “初始物质池” 构建。</w:t>
            </w:r>
          </w:p>
          <w:p w14:paraId="63C5C2E0">
            <w:pPr>
              <w:keepNext w:val="0"/>
              <w:keepLines w:val="0"/>
              <w:pageBreakBefore w:val="0"/>
              <w:kinsoku/>
              <w:wordWrap/>
              <w:overflowPunct/>
              <w:topLinePunct w:val="0"/>
              <w:autoSpaceDE/>
              <w:autoSpaceDN/>
              <w:bidi w:val="0"/>
              <w:adjustRightInd/>
              <w:snapToGrid/>
              <w:spacing w:line="300" w:lineRule="exact"/>
              <w:ind w:firstLine="440" w:firstLineChars="200"/>
              <w:jc w:val="center"/>
              <w:textAlignment w:val="auto"/>
              <w:rPr>
                <w:rFonts w:hint="eastAsia" w:ascii="方正仿宋_GB2312" w:hAnsi="方正仿宋_GB2312" w:eastAsia="方正仿宋_GB2312" w:cs="方正仿宋_GB2312"/>
                <w:sz w:val="22"/>
                <w:szCs w:val="22"/>
              </w:rPr>
            </w:pPr>
          </w:p>
        </w:tc>
        <w:tc>
          <w:tcPr>
            <w:tcW w:w="812" w:type="dxa"/>
            <w:shd w:val="clear" w:color="auto" w:fill="auto"/>
            <w:vAlign w:val="center"/>
          </w:tcPr>
          <w:p w14:paraId="54556F7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kern w:val="2"/>
                <w:sz w:val="22"/>
                <w:szCs w:val="22"/>
                <w:lang w:val="en-US" w:eastAsia="zh-CN" w:bidi="ar-SA"/>
              </w:rPr>
            </w:pPr>
            <w:r>
              <w:rPr>
                <w:rFonts w:hint="eastAsia" w:ascii="方正仿宋_GB2312" w:hAnsi="方正仿宋_GB2312" w:eastAsia="方正仿宋_GB2312" w:cs="方正仿宋_GB2312"/>
                <w:sz w:val="22"/>
                <w:szCs w:val="22"/>
                <w:lang w:val="en-US" w:eastAsia="zh-CN"/>
              </w:rPr>
              <w:t>1</w:t>
            </w:r>
          </w:p>
        </w:tc>
        <w:tc>
          <w:tcPr>
            <w:tcW w:w="850" w:type="dxa"/>
            <w:shd w:val="clear" w:color="auto" w:fill="auto"/>
            <w:vAlign w:val="center"/>
          </w:tcPr>
          <w:p w14:paraId="1C9D174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kern w:val="2"/>
                <w:sz w:val="22"/>
                <w:szCs w:val="22"/>
                <w:lang w:val="en-US" w:eastAsia="zh-CN" w:bidi="ar-SA"/>
              </w:rPr>
            </w:pPr>
            <w:r>
              <w:rPr>
                <w:rFonts w:hint="eastAsia" w:ascii="方正仿宋_GB2312" w:hAnsi="方正仿宋_GB2312" w:eastAsia="方正仿宋_GB2312" w:cs="方正仿宋_GB2312"/>
                <w:sz w:val="22"/>
                <w:szCs w:val="22"/>
                <w:lang w:val="en-US" w:eastAsia="zh-CN"/>
              </w:rPr>
              <w:t>项</w:t>
            </w:r>
          </w:p>
        </w:tc>
        <w:tc>
          <w:tcPr>
            <w:tcW w:w="1163" w:type="dxa"/>
            <w:vAlign w:val="center"/>
          </w:tcPr>
          <w:p w14:paraId="4BAA1A4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03DDA39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r w14:paraId="29934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49" w:type="dxa"/>
            <w:vAlign w:val="center"/>
          </w:tcPr>
          <w:p w14:paraId="1726221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5</w:t>
            </w:r>
          </w:p>
        </w:tc>
        <w:tc>
          <w:tcPr>
            <w:tcW w:w="1200" w:type="dxa"/>
            <w:vAlign w:val="center"/>
          </w:tcPr>
          <w:p w14:paraId="6BFC1BF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代谢产物预测</w:t>
            </w:r>
          </w:p>
        </w:tc>
        <w:tc>
          <w:tcPr>
            <w:tcW w:w="2475" w:type="dxa"/>
            <w:vAlign w:val="center"/>
          </w:tcPr>
          <w:p w14:paraId="1524F51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color w:val="000000"/>
                <w:kern w:val="0"/>
                <w:sz w:val="22"/>
                <w:szCs w:val="22"/>
              </w:rPr>
              <w:t>将初筛后的单体分子结构导入 BioTransformer 3.0 工具，选择 “人体肝脏代谢”“肠道菌群代谢” 等核心代谢途径，设置代谢反应规则（如氧化、还原、水解），批量预测各单体的代谢产物，输出代谢产物结构、生成路径及相对丰度，完善 “活性物质池”</w:t>
            </w:r>
          </w:p>
        </w:tc>
        <w:tc>
          <w:tcPr>
            <w:tcW w:w="812" w:type="dxa"/>
            <w:shd w:val="clear" w:color="auto" w:fill="auto"/>
            <w:vAlign w:val="center"/>
          </w:tcPr>
          <w:p w14:paraId="24638AD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kern w:val="2"/>
                <w:sz w:val="22"/>
                <w:szCs w:val="22"/>
                <w:lang w:val="en-US" w:eastAsia="zh-CN" w:bidi="ar-SA"/>
              </w:rPr>
            </w:pPr>
            <w:r>
              <w:rPr>
                <w:rFonts w:hint="eastAsia" w:ascii="方正仿宋_GB2312" w:hAnsi="方正仿宋_GB2312" w:eastAsia="方正仿宋_GB2312" w:cs="方正仿宋_GB2312"/>
                <w:sz w:val="22"/>
                <w:szCs w:val="22"/>
                <w:lang w:val="en-US" w:eastAsia="zh-CN"/>
              </w:rPr>
              <w:t>1</w:t>
            </w:r>
          </w:p>
        </w:tc>
        <w:tc>
          <w:tcPr>
            <w:tcW w:w="850" w:type="dxa"/>
            <w:shd w:val="clear" w:color="auto" w:fill="auto"/>
            <w:vAlign w:val="center"/>
          </w:tcPr>
          <w:p w14:paraId="3960F46B">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kern w:val="2"/>
                <w:sz w:val="22"/>
                <w:szCs w:val="22"/>
                <w:lang w:val="en-US" w:eastAsia="zh-CN" w:bidi="ar-SA"/>
              </w:rPr>
            </w:pPr>
            <w:r>
              <w:rPr>
                <w:rFonts w:hint="eastAsia" w:ascii="方正仿宋_GB2312" w:hAnsi="方正仿宋_GB2312" w:eastAsia="方正仿宋_GB2312" w:cs="方正仿宋_GB2312"/>
                <w:sz w:val="22"/>
                <w:szCs w:val="22"/>
                <w:lang w:val="en-US" w:eastAsia="zh-CN"/>
              </w:rPr>
              <w:t>项</w:t>
            </w:r>
          </w:p>
        </w:tc>
        <w:tc>
          <w:tcPr>
            <w:tcW w:w="1163" w:type="dxa"/>
            <w:vAlign w:val="center"/>
          </w:tcPr>
          <w:p w14:paraId="354F02A8">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7BFB2FB7">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r w14:paraId="05E46C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7B68258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6</w:t>
            </w:r>
          </w:p>
        </w:tc>
        <w:tc>
          <w:tcPr>
            <w:tcW w:w="1200" w:type="dxa"/>
            <w:vAlign w:val="center"/>
          </w:tcPr>
          <w:p w14:paraId="187405A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潜在靶点预测</w:t>
            </w:r>
          </w:p>
        </w:tc>
        <w:tc>
          <w:tcPr>
            <w:tcW w:w="2475" w:type="dxa"/>
            <w:vAlign w:val="center"/>
          </w:tcPr>
          <w:p w14:paraId="6895DDF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0"/>
                <w:sz w:val="22"/>
                <w:szCs w:val="22"/>
              </w:rPr>
            </w:pPr>
            <w:r>
              <w:rPr>
                <w:rFonts w:hint="eastAsia" w:ascii="方正仿宋_GB2312" w:hAnsi="方正仿宋_GB2312" w:eastAsia="方正仿宋_GB2312" w:cs="方正仿宋_GB2312"/>
                <w:sz w:val="22"/>
                <w:szCs w:val="22"/>
              </w:rPr>
              <w:t>将单体分子及代谢产物的 SMILES 结构上传至 SwissTargetPrediction 在线平台，设定物种为 “人类”，获取各物质对应的潜在靶点（如蛋白、酶、受体）；同时结合 DisGeNET、OMIM 等疾病数据库，筛选出与肝纤维化直接相关的靶点，建立 “物质 - 靶点 - 疾病” 关联表，形成《活性物质潜在靶点数据集》</w:t>
            </w:r>
          </w:p>
          <w:p w14:paraId="3E251DC4">
            <w:pPr>
              <w:keepNext w:val="0"/>
              <w:keepLines w:val="0"/>
              <w:pageBreakBefore w:val="0"/>
              <w:kinsoku/>
              <w:wordWrap/>
              <w:overflowPunct/>
              <w:topLinePunct w:val="0"/>
              <w:autoSpaceDE/>
              <w:autoSpaceDN/>
              <w:bidi w:val="0"/>
              <w:adjustRightInd/>
              <w:snapToGrid/>
              <w:spacing w:line="300" w:lineRule="exact"/>
              <w:ind w:firstLine="440" w:firstLineChars="200"/>
              <w:jc w:val="center"/>
              <w:textAlignment w:val="auto"/>
              <w:rPr>
                <w:rFonts w:hint="eastAsia" w:ascii="方正仿宋_GB2312" w:hAnsi="方正仿宋_GB2312" w:eastAsia="方正仿宋_GB2312" w:cs="方正仿宋_GB2312"/>
                <w:sz w:val="22"/>
                <w:szCs w:val="22"/>
              </w:rPr>
            </w:pPr>
          </w:p>
        </w:tc>
        <w:tc>
          <w:tcPr>
            <w:tcW w:w="812" w:type="dxa"/>
            <w:shd w:val="clear" w:color="auto" w:fill="auto"/>
            <w:vAlign w:val="center"/>
          </w:tcPr>
          <w:p w14:paraId="1CDD8C8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kern w:val="2"/>
                <w:sz w:val="22"/>
                <w:szCs w:val="22"/>
                <w:lang w:val="en-US" w:eastAsia="zh-CN" w:bidi="ar-SA"/>
              </w:rPr>
            </w:pPr>
            <w:r>
              <w:rPr>
                <w:rFonts w:hint="eastAsia" w:ascii="方正仿宋_GB2312" w:hAnsi="方正仿宋_GB2312" w:eastAsia="方正仿宋_GB2312" w:cs="方正仿宋_GB2312"/>
                <w:sz w:val="22"/>
                <w:szCs w:val="22"/>
                <w:lang w:val="en-US" w:eastAsia="zh-CN"/>
              </w:rPr>
              <w:t>1</w:t>
            </w:r>
          </w:p>
        </w:tc>
        <w:tc>
          <w:tcPr>
            <w:tcW w:w="850" w:type="dxa"/>
            <w:shd w:val="clear" w:color="auto" w:fill="auto"/>
            <w:vAlign w:val="center"/>
          </w:tcPr>
          <w:p w14:paraId="7D0BEC3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kern w:val="2"/>
                <w:sz w:val="22"/>
                <w:szCs w:val="22"/>
                <w:lang w:val="en-US" w:eastAsia="zh-CN" w:bidi="ar-SA"/>
              </w:rPr>
            </w:pPr>
            <w:r>
              <w:rPr>
                <w:rFonts w:hint="eastAsia" w:ascii="方正仿宋_GB2312" w:hAnsi="方正仿宋_GB2312" w:eastAsia="方正仿宋_GB2312" w:cs="方正仿宋_GB2312"/>
                <w:sz w:val="22"/>
                <w:szCs w:val="22"/>
                <w:lang w:val="en-US" w:eastAsia="zh-CN"/>
              </w:rPr>
              <w:t>项</w:t>
            </w:r>
          </w:p>
        </w:tc>
        <w:tc>
          <w:tcPr>
            <w:tcW w:w="1163" w:type="dxa"/>
            <w:vAlign w:val="center"/>
          </w:tcPr>
          <w:p w14:paraId="7D066E5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3E6565BE">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r w14:paraId="058FD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DE8FFA1">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7</w:t>
            </w:r>
          </w:p>
        </w:tc>
        <w:tc>
          <w:tcPr>
            <w:tcW w:w="1200" w:type="dxa"/>
            <w:vAlign w:val="center"/>
          </w:tcPr>
          <w:p w14:paraId="070F484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单细胞测序</w:t>
            </w:r>
          </w:p>
        </w:tc>
        <w:tc>
          <w:tcPr>
            <w:tcW w:w="2475" w:type="dxa"/>
            <w:vAlign w:val="center"/>
          </w:tcPr>
          <w:p w14:paraId="199CE1A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color w:val="000000"/>
                <w:kern w:val="0"/>
                <w:sz w:val="22"/>
                <w:szCs w:val="22"/>
              </w:rPr>
            </w:pPr>
            <w:r>
              <w:rPr>
                <w:rFonts w:hint="eastAsia" w:ascii="方正仿宋_GB2312" w:hAnsi="方正仿宋_GB2312" w:eastAsia="方正仿宋_GB2312" w:cs="方正仿宋_GB2312"/>
                <w:sz w:val="22"/>
                <w:szCs w:val="22"/>
              </w:rPr>
              <w:t>通过差异表达分析（DESeq2）筛选各细胞类群在肝纤维化进程中的差异表达基因；结合 GO 功能注释、KEGG 通路富集分析，明确不同细胞类群的功能变化及核心调控通路，整理成《肝纤维化单细胞转录组图谱证据集</w:t>
            </w:r>
          </w:p>
        </w:tc>
        <w:tc>
          <w:tcPr>
            <w:tcW w:w="812" w:type="dxa"/>
            <w:vAlign w:val="center"/>
          </w:tcPr>
          <w:p w14:paraId="2B9BD3FA">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3</w:t>
            </w:r>
          </w:p>
        </w:tc>
        <w:tc>
          <w:tcPr>
            <w:tcW w:w="850" w:type="dxa"/>
            <w:vAlign w:val="center"/>
          </w:tcPr>
          <w:p w14:paraId="29601179">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例</w:t>
            </w:r>
          </w:p>
        </w:tc>
        <w:tc>
          <w:tcPr>
            <w:tcW w:w="1163" w:type="dxa"/>
            <w:vAlign w:val="center"/>
          </w:tcPr>
          <w:p w14:paraId="6FF8EB4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6BEAD9F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r w14:paraId="55FA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49" w:type="dxa"/>
            <w:vAlign w:val="center"/>
          </w:tcPr>
          <w:p w14:paraId="1A8FFFFC">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8</w:t>
            </w:r>
          </w:p>
        </w:tc>
        <w:tc>
          <w:tcPr>
            <w:tcW w:w="1200" w:type="dxa"/>
            <w:vAlign w:val="center"/>
          </w:tcPr>
          <w:p w14:paraId="2BAE358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肝纤维化类器官构建</w:t>
            </w:r>
          </w:p>
        </w:tc>
        <w:tc>
          <w:tcPr>
            <w:tcW w:w="2475" w:type="dxa"/>
            <w:vAlign w:val="center"/>
          </w:tcPr>
          <w:p w14:paraId="238D26C6">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用于做单体药物靶点验证</w:t>
            </w:r>
          </w:p>
        </w:tc>
        <w:tc>
          <w:tcPr>
            <w:tcW w:w="812" w:type="dxa"/>
            <w:vAlign w:val="center"/>
          </w:tcPr>
          <w:p w14:paraId="6D12DA63">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3</w:t>
            </w:r>
          </w:p>
        </w:tc>
        <w:tc>
          <w:tcPr>
            <w:tcW w:w="850" w:type="dxa"/>
            <w:vAlign w:val="center"/>
          </w:tcPr>
          <w:p w14:paraId="69F28AD0">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r>
              <w:rPr>
                <w:rFonts w:hint="eastAsia" w:ascii="方正仿宋_GB2312" w:hAnsi="方正仿宋_GB2312" w:eastAsia="方正仿宋_GB2312" w:cs="方正仿宋_GB2312"/>
                <w:sz w:val="22"/>
                <w:szCs w:val="22"/>
              </w:rPr>
              <w:t>例</w:t>
            </w:r>
          </w:p>
        </w:tc>
        <w:tc>
          <w:tcPr>
            <w:tcW w:w="1163" w:type="dxa"/>
            <w:vAlign w:val="center"/>
          </w:tcPr>
          <w:p w14:paraId="38789CB5">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2BB7054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r w14:paraId="4A3F8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086" w:type="dxa"/>
            <w:gridSpan w:val="5"/>
            <w:vAlign w:val="center"/>
          </w:tcPr>
          <w:p w14:paraId="071C4244">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lang w:val="en-US" w:eastAsia="zh-CN"/>
              </w:rPr>
            </w:pPr>
            <w:r>
              <w:rPr>
                <w:rFonts w:hint="eastAsia" w:ascii="方正仿宋_GB2312" w:hAnsi="方正仿宋_GB2312" w:eastAsia="方正仿宋_GB2312" w:cs="方正仿宋_GB2312"/>
                <w:sz w:val="22"/>
                <w:szCs w:val="22"/>
                <w:lang w:val="en-US" w:eastAsia="zh-CN"/>
              </w:rPr>
              <w:t>总计（元）</w:t>
            </w:r>
          </w:p>
        </w:tc>
        <w:tc>
          <w:tcPr>
            <w:tcW w:w="1163" w:type="dxa"/>
            <w:vAlign w:val="center"/>
          </w:tcPr>
          <w:p w14:paraId="4F9C3722">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c>
          <w:tcPr>
            <w:tcW w:w="1162" w:type="dxa"/>
            <w:vAlign w:val="center"/>
          </w:tcPr>
          <w:p w14:paraId="00029DCF">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方正仿宋_GB2312" w:hAnsi="方正仿宋_GB2312" w:eastAsia="方正仿宋_GB2312" w:cs="方正仿宋_GB2312"/>
                <w:sz w:val="22"/>
                <w:szCs w:val="22"/>
              </w:rPr>
            </w:pPr>
          </w:p>
        </w:tc>
      </w:tr>
    </w:tbl>
    <w:p w14:paraId="6CFB5829">
      <w:pPr>
        <w:keepNext w:val="0"/>
        <w:keepLines w:val="0"/>
        <w:pageBreakBefore w:val="0"/>
        <w:kinsoku/>
        <w:wordWrap/>
        <w:overflowPunct/>
        <w:topLinePunct w:val="0"/>
        <w:autoSpaceDE/>
        <w:autoSpaceDN/>
        <w:bidi w:val="0"/>
        <w:adjustRightInd/>
        <w:snapToGrid/>
        <w:spacing w:line="300" w:lineRule="exact"/>
        <w:textAlignment w:val="auto"/>
        <w:rPr>
          <w:rFonts w:hint="eastAsia" w:ascii="方正仿宋_GB2312" w:hAnsi="方正仿宋_GB2312" w:eastAsia="方正仿宋_GB2312" w:cs="方正仿宋_GB2312"/>
          <w:sz w:val="22"/>
          <w:szCs w:val="22"/>
        </w:rPr>
      </w:pPr>
    </w:p>
    <w:p w14:paraId="726FA337">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1" w:fontKey="{7D9D8EA2-22BA-4507-B563-1108B8BE1944}"/>
  </w:font>
  <w:font w:name="等线 Light">
    <w:panose1 w:val="02010600030101010101"/>
    <w:charset w:val="86"/>
    <w:family w:val="auto"/>
    <w:pitch w:val="default"/>
    <w:sig w:usb0="A00002BF" w:usb1="38CF7CFA" w:usb2="00000016" w:usb3="00000000" w:csb0="0004000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embedRegular r:id="rId2" w:fontKey="{B73D0854-A56F-4AD1-B6C7-20B0211331CD}"/>
  </w:font>
  <w:font w:name="方正仿宋_GB2312">
    <w:panose1 w:val="02000000000000000000"/>
    <w:charset w:val="86"/>
    <w:family w:val="auto"/>
    <w:pitch w:val="default"/>
    <w:sig w:usb0="A00002BF" w:usb1="184F6CFA" w:usb2="00000012" w:usb3="00000000" w:csb0="00040001" w:csb1="00000000"/>
    <w:embedRegular r:id="rId3" w:fontKey="{2DB6A6F8-BA1E-477F-87D8-8076339478C7}"/>
  </w:font>
  <w:font w:name="Cambria Math">
    <w:panose1 w:val="02040503050406030204"/>
    <w:charset w:val="00"/>
    <w:family w:val="roman"/>
    <w:pitch w:val="default"/>
    <w:sig w:usb0="E00006FF" w:usb1="420024FF" w:usb2="02000000" w:usb3="00000000" w:csb0="2000019F" w:csb1="00000000"/>
    <w:embedRegular r:id="rId4" w:fontKey="{41C4B90A-579C-40DE-8A93-53140ECE5DFB}"/>
  </w:font>
  <w:font w:name="Microsoft YaHei UI">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9A8"/>
    <w:rsid w:val="002F416E"/>
    <w:rsid w:val="004B041A"/>
    <w:rsid w:val="00552B27"/>
    <w:rsid w:val="005F34BC"/>
    <w:rsid w:val="00A979A8"/>
    <w:rsid w:val="00C84256"/>
    <w:rsid w:val="00E30E51"/>
    <w:rsid w:val="368D534F"/>
    <w:rsid w:val="43941BF9"/>
    <w:rsid w:val="7D770F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3"/>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4"/>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jc w:val="left"/>
    </w:pPr>
    <w:rPr>
      <w:sz w:val="18"/>
      <w:szCs w:val="18"/>
    </w:rPr>
  </w:style>
  <w:style w:type="paragraph" w:styleId="12">
    <w:name w:val="header"/>
    <w:basedOn w:val="1"/>
    <w:link w:val="36"/>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8"/>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104862"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1">
    <w:name w:val="标题 4 字符"/>
    <w:basedOn w:val="17"/>
    <w:link w:val="5"/>
    <w:semiHidden/>
    <w:qFormat/>
    <w:uiPriority w:val="9"/>
    <w:rPr>
      <w:rFonts w:cstheme="majorBidi"/>
      <w:color w:val="104862" w:themeColor="accent1" w:themeShade="BF"/>
      <w:sz w:val="28"/>
      <w:szCs w:val="28"/>
    </w:rPr>
  </w:style>
  <w:style w:type="character" w:customStyle="1" w:styleId="22">
    <w:name w:val="标题 5 字符"/>
    <w:basedOn w:val="17"/>
    <w:link w:val="6"/>
    <w:semiHidden/>
    <w:qFormat/>
    <w:uiPriority w:val="9"/>
    <w:rPr>
      <w:rFonts w:cstheme="majorBidi"/>
      <w:color w:val="104862" w:themeColor="accent1" w:themeShade="BF"/>
      <w:sz w:val="24"/>
      <w:szCs w:val="24"/>
    </w:rPr>
  </w:style>
  <w:style w:type="character" w:customStyle="1" w:styleId="23">
    <w:name w:val="标题 6 字符"/>
    <w:basedOn w:val="17"/>
    <w:link w:val="7"/>
    <w:semiHidden/>
    <w:qFormat/>
    <w:uiPriority w:val="9"/>
    <w:rPr>
      <w:rFonts w:cstheme="majorBidi"/>
      <w:b/>
      <w:bCs/>
      <w:color w:val="104862"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明显引用 字符"/>
    <w:basedOn w:val="17"/>
    <w:link w:val="33"/>
    <w:qFormat/>
    <w:uiPriority w:val="30"/>
    <w:rPr>
      <w:i/>
      <w:iCs/>
      <w:color w:val="104862" w:themeColor="accent1" w:themeShade="BF"/>
    </w:rPr>
  </w:style>
  <w:style w:type="character" w:customStyle="1" w:styleId="35">
    <w:name w:val="Intense Reference"/>
    <w:basedOn w:val="17"/>
    <w:qFormat/>
    <w:uiPriority w:val="32"/>
    <w:rPr>
      <w:b/>
      <w:bCs/>
      <w:smallCaps/>
      <w:color w:val="104862"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_Style 13"/>
    <w:qFormat/>
    <w:uiPriority w:val="0"/>
    <w:pPr>
      <w:spacing w:before="120" w:after="120" w:line="288" w:lineRule="auto"/>
    </w:pPr>
    <w:rPr>
      <w:rFonts w:ascii="Arial" w:hAnsi="Arial" w:eastAsia="等线" w:cs="Arial"/>
      <w:kern w:val="0"/>
      <w:sz w:val="22"/>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674</Words>
  <Characters>764</Characters>
  <Lines>19</Lines>
  <Paragraphs>11</Paragraphs>
  <TotalTime>0</TotalTime>
  <ScaleCrop>false</ScaleCrop>
  <LinksUpToDate>false</LinksUpToDate>
  <CharactersWithSpaces>792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2025-09-21T08:12:00Z</dcterms:created>
  <dc:creator>CC</dc:creator>
  <cp:lastModifiedBy>abc</cp:lastModifiedBy>
  <dcterms:modified xsi:type="dcterms:W3CDTF">2025-10-09T07:21:36Z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eyJoZGlkIjoiY2NhZjFmZjVkOGM2NjNmMjA1ZWU4MzAyZDY0NmNjODkiLCJ1c2VySWQiOiIxOTk2MDk3MTQifQ==</vt:lpwstr>
  </property>
  <property fmtid="{D5CDD505-2E9C-101B-9397-08002B2CF9AE}" pid="3" name="KSOProductBuildVer">
    <vt:lpwstr>2052-12.1.0.22529</vt:lpwstr>
  </property>
  <property fmtid="{D5CDD505-2E9C-101B-9397-08002B2CF9AE}" pid="4" name="ICV">
    <vt:lpwstr>DB1C3A78C36245D68A1DC917DEAF2EB1_13</vt:lpwstr>
  </property>
</Properties>
</file>