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2045D">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附件1</w:t>
      </w:r>
      <w:bookmarkStart w:id="0" w:name="_GoBack"/>
      <w:bookmarkEnd w:id="0"/>
    </w:p>
    <w:p w14:paraId="780F876D">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14:paraId="71160780">
      <w:pPr>
        <w:pStyle w:val="2"/>
        <w:spacing w:before="0" w:after="0" w:line="240" w:lineRule="auto"/>
        <w:jc w:val="both"/>
        <w:rPr>
          <w:rFonts w:hint="eastAsia" w:ascii="Times New Roman" w:eastAsia="黑体" w:cs="Times New Roman"/>
          <w:color w:val="auto"/>
          <w:sz w:val="32"/>
          <w:szCs w:val="32"/>
          <w:shd w:val="clear" w:color="auto" w:fill="FFFFFF"/>
        </w:rPr>
      </w:pPr>
      <w:r>
        <w:rPr>
          <w:rFonts w:ascii="Times New Roman" w:eastAsia="黑体" w:cs="Times New Roman"/>
          <w:color w:val="auto"/>
          <w:sz w:val="32"/>
          <w:szCs w:val="32"/>
          <w:shd w:val="clear" w:color="auto" w:fill="FFFFFF"/>
        </w:rPr>
        <w:t>一、比选项目</w:t>
      </w:r>
      <w:r>
        <w:rPr>
          <w:rFonts w:hint="eastAsia" w:ascii="Times New Roman" w:eastAsia="黑体" w:cs="Times New Roman"/>
          <w:color w:val="auto"/>
          <w:sz w:val="32"/>
          <w:szCs w:val="32"/>
          <w:shd w:val="clear" w:color="auto" w:fill="FFFFFF"/>
        </w:rPr>
        <w:t>内容</w:t>
      </w:r>
    </w:p>
    <w:p w14:paraId="27BB0741">
      <w:pPr>
        <w:spacing w:line="500" w:lineRule="exact"/>
        <w:ind w:firstLine="720" w:firstLineChars="200"/>
        <w:rPr>
          <w:rFonts w:hint="eastAsia"/>
          <w:szCs w:val="32"/>
        </w:rPr>
      </w:pPr>
      <w:r>
        <w:rPr>
          <w:rFonts w:hint="eastAsia"/>
          <w:szCs w:val="32"/>
        </w:rPr>
        <w:t>本项目共</w:t>
      </w:r>
      <w:r>
        <w:rPr>
          <w:rFonts w:hint="eastAsia"/>
          <w:szCs w:val="32"/>
          <w:lang w:val="en-US" w:eastAsia="zh-CN"/>
        </w:rPr>
        <w:t>1</w:t>
      </w:r>
      <w:r>
        <w:rPr>
          <w:rFonts w:hint="eastAsia"/>
          <w:szCs w:val="32"/>
        </w:rPr>
        <w:t>个包，</w:t>
      </w:r>
      <w:r>
        <w:rPr>
          <w:rFonts w:hint="eastAsia"/>
          <w:szCs w:val="32"/>
          <w:lang w:eastAsia="zh-CN"/>
        </w:rPr>
        <w:t>医院感染与传染病监测管理系统维护服务项目</w:t>
      </w:r>
      <w:r>
        <w:rPr>
          <w:rFonts w:hint="eastAsia"/>
          <w:szCs w:val="32"/>
        </w:rPr>
        <w:t>。</w:t>
      </w:r>
    </w:p>
    <w:p w14:paraId="48429608">
      <w:pPr>
        <w:spacing w:line="500" w:lineRule="exact"/>
        <w:ind w:firstLine="720" w:firstLineChars="200"/>
        <w:rPr>
          <w:rFonts w:eastAsia="方正黑体_GBK"/>
          <w:bCs/>
          <w:szCs w:val="32"/>
        </w:rPr>
      </w:pPr>
      <w:r>
        <w:rPr>
          <w:rFonts w:eastAsia="方正黑体_GBK"/>
          <w:bCs/>
          <w:szCs w:val="32"/>
        </w:rPr>
        <w:t>二、项目预（概）算</w:t>
      </w:r>
    </w:p>
    <w:p w14:paraId="3D8299F5">
      <w:pPr>
        <w:spacing w:line="500" w:lineRule="exact"/>
        <w:ind w:firstLine="720" w:firstLineChars="200"/>
        <w:rPr>
          <w:rFonts w:hint="default"/>
          <w:szCs w:val="32"/>
          <w:lang w:val="en-US"/>
        </w:rPr>
      </w:pPr>
      <w:r>
        <w:rPr>
          <w:rFonts w:hint="eastAsia"/>
          <w:szCs w:val="32"/>
        </w:rPr>
        <w:t>总</w:t>
      </w:r>
      <w:r>
        <w:rPr>
          <w:szCs w:val="32"/>
        </w:rPr>
        <w:t>预算</w:t>
      </w:r>
      <w:r>
        <w:rPr>
          <w:szCs w:val="32"/>
          <w:u w:val="single"/>
        </w:rPr>
        <w:t xml:space="preserve">  </w:t>
      </w:r>
      <w:r>
        <w:rPr>
          <w:rFonts w:hint="eastAsia"/>
          <w:szCs w:val="32"/>
          <w:u w:val="single"/>
          <w:lang w:val="en-US" w:eastAsia="zh-CN"/>
        </w:rPr>
        <w:t>2.28</w:t>
      </w:r>
      <w:r>
        <w:rPr>
          <w:szCs w:val="32"/>
          <w:u w:val="single"/>
        </w:rPr>
        <w:t xml:space="preserve">  </w:t>
      </w:r>
      <w:r>
        <w:rPr>
          <w:szCs w:val="32"/>
        </w:rPr>
        <w:t>万元</w:t>
      </w:r>
      <w:r>
        <w:rPr>
          <w:rFonts w:hint="eastAsia"/>
          <w:szCs w:val="32"/>
          <w:lang w:val="en-US" w:eastAsia="zh-CN"/>
        </w:rPr>
        <w:t>/年，一采三年，</w:t>
      </w:r>
      <w:r>
        <w:rPr>
          <w:szCs w:val="32"/>
        </w:rPr>
        <w:t>最高限价</w:t>
      </w:r>
      <w:r>
        <w:rPr>
          <w:szCs w:val="32"/>
          <w:u w:val="single"/>
        </w:rPr>
        <w:t xml:space="preserve"> </w:t>
      </w:r>
      <w:r>
        <w:rPr>
          <w:rFonts w:hint="eastAsia"/>
          <w:szCs w:val="32"/>
          <w:u w:val="single"/>
          <w:lang w:val="en-US" w:eastAsia="zh-CN"/>
        </w:rPr>
        <w:t>2.28</w:t>
      </w:r>
      <w:r>
        <w:rPr>
          <w:rFonts w:hint="eastAsia"/>
          <w:szCs w:val="32"/>
          <w:u w:val="none"/>
        </w:rPr>
        <w:t>万元</w:t>
      </w:r>
      <w:r>
        <w:rPr>
          <w:rFonts w:hint="eastAsia"/>
          <w:szCs w:val="32"/>
          <w:u w:val="none"/>
          <w:lang w:val="en-US" w:eastAsia="zh-CN"/>
        </w:rPr>
        <w:t>/年</w:t>
      </w:r>
      <w:r>
        <w:rPr>
          <w:rFonts w:hint="eastAsia"/>
          <w:szCs w:val="32"/>
          <w:lang w:val="en-US" w:eastAsia="zh-CN"/>
        </w:rPr>
        <w:t>。</w:t>
      </w:r>
    </w:p>
    <w:p w14:paraId="3EA5358A">
      <w:pPr>
        <w:spacing w:line="500" w:lineRule="exact"/>
        <w:ind w:firstLine="720" w:firstLineChars="200"/>
        <w:rPr>
          <w:rFonts w:eastAsia="方正黑体_GBK"/>
          <w:bCs/>
          <w:szCs w:val="32"/>
        </w:rPr>
      </w:pPr>
      <w:r>
        <w:rPr>
          <w:rFonts w:hint="eastAsia" w:eastAsia="方正黑体_GBK"/>
          <w:bCs/>
          <w:szCs w:val="32"/>
        </w:rPr>
        <w:t>三</w:t>
      </w:r>
      <w:r>
        <w:rPr>
          <w:rFonts w:eastAsia="方正黑体_GBK"/>
          <w:bCs/>
          <w:szCs w:val="32"/>
        </w:rPr>
        <w:t>、采购标的汇总表</w:t>
      </w:r>
    </w:p>
    <w:tbl>
      <w:tblPr>
        <w:tblStyle w:val="7"/>
        <w:tblpPr w:leftFromText="180" w:rightFromText="180" w:vertAnchor="text" w:horzAnchor="page" w:tblpX="1779" w:tblpY="306"/>
        <w:tblOverlap w:val="never"/>
        <w:tblW w:w="8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884"/>
        <w:gridCol w:w="2315"/>
        <w:gridCol w:w="1538"/>
        <w:gridCol w:w="1116"/>
        <w:gridCol w:w="1181"/>
      </w:tblGrid>
      <w:tr w14:paraId="4BCB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043" w:type="dxa"/>
            <w:vAlign w:val="center"/>
          </w:tcPr>
          <w:p w14:paraId="6303B9FC">
            <w:pPr>
              <w:spacing w:line="300" w:lineRule="exact"/>
              <w:jc w:val="center"/>
              <w:rPr>
                <w:rFonts w:eastAsia="方正黑体_GBK"/>
                <w:bCs/>
                <w:sz w:val="21"/>
                <w:szCs w:val="21"/>
              </w:rPr>
            </w:pPr>
            <w:r>
              <w:rPr>
                <w:rFonts w:eastAsia="方正黑体_GBK"/>
                <w:sz w:val="21"/>
                <w:szCs w:val="21"/>
              </w:rPr>
              <w:t>包</w:t>
            </w:r>
            <w:r>
              <w:rPr>
                <w:rFonts w:eastAsia="方正黑体_GBK"/>
                <w:bCs/>
                <w:sz w:val="21"/>
                <w:szCs w:val="21"/>
              </w:rPr>
              <w:t>号</w:t>
            </w:r>
          </w:p>
        </w:tc>
        <w:tc>
          <w:tcPr>
            <w:tcW w:w="884" w:type="dxa"/>
            <w:vAlign w:val="center"/>
          </w:tcPr>
          <w:p w14:paraId="2102E3FF">
            <w:pPr>
              <w:spacing w:line="300" w:lineRule="exact"/>
              <w:jc w:val="center"/>
              <w:rPr>
                <w:rFonts w:eastAsia="方正黑体_GBK"/>
                <w:bCs/>
                <w:sz w:val="21"/>
                <w:szCs w:val="21"/>
              </w:rPr>
            </w:pPr>
            <w:r>
              <w:rPr>
                <w:rFonts w:eastAsia="方正黑体_GBK"/>
                <w:bCs/>
                <w:sz w:val="21"/>
                <w:szCs w:val="21"/>
              </w:rPr>
              <w:t>序号</w:t>
            </w:r>
          </w:p>
        </w:tc>
        <w:tc>
          <w:tcPr>
            <w:tcW w:w="2315" w:type="dxa"/>
            <w:vAlign w:val="center"/>
          </w:tcPr>
          <w:p w14:paraId="06F17340">
            <w:pPr>
              <w:spacing w:line="300" w:lineRule="exact"/>
              <w:jc w:val="center"/>
              <w:rPr>
                <w:rFonts w:eastAsia="方正黑体_GBK"/>
                <w:bCs/>
                <w:sz w:val="21"/>
                <w:szCs w:val="21"/>
              </w:rPr>
            </w:pPr>
            <w:r>
              <w:rPr>
                <w:rFonts w:eastAsia="方正黑体_GBK"/>
                <w:bCs/>
                <w:sz w:val="21"/>
                <w:szCs w:val="21"/>
              </w:rPr>
              <w:t>标的名称</w:t>
            </w:r>
          </w:p>
        </w:tc>
        <w:tc>
          <w:tcPr>
            <w:tcW w:w="1538" w:type="dxa"/>
            <w:vAlign w:val="center"/>
          </w:tcPr>
          <w:p w14:paraId="423F4F2F">
            <w:pPr>
              <w:spacing w:line="300" w:lineRule="exact"/>
              <w:jc w:val="center"/>
              <w:rPr>
                <w:rFonts w:eastAsia="方正黑体_GBK"/>
                <w:bCs/>
                <w:sz w:val="21"/>
                <w:szCs w:val="21"/>
              </w:rPr>
            </w:pPr>
            <w:r>
              <w:rPr>
                <w:rFonts w:eastAsia="方正黑体_GBK"/>
                <w:bCs/>
                <w:sz w:val="21"/>
                <w:szCs w:val="21"/>
              </w:rPr>
              <w:t>计量单位</w:t>
            </w:r>
          </w:p>
        </w:tc>
        <w:tc>
          <w:tcPr>
            <w:tcW w:w="1116" w:type="dxa"/>
            <w:vAlign w:val="center"/>
          </w:tcPr>
          <w:p w14:paraId="11CD9A50">
            <w:pPr>
              <w:spacing w:line="300" w:lineRule="exact"/>
              <w:jc w:val="center"/>
              <w:rPr>
                <w:rFonts w:eastAsia="方正黑体_GBK"/>
                <w:bCs/>
                <w:sz w:val="21"/>
                <w:szCs w:val="21"/>
              </w:rPr>
            </w:pPr>
            <w:r>
              <w:rPr>
                <w:rFonts w:eastAsia="方正黑体_GBK"/>
                <w:bCs/>
                <w:sz w:val="21"/>
                <w:szCs w:val="21"/>
              </w:rPr>
              <w:t>数量</w:t>
            </w:r>
          </w:p>
        </w:tc>
        <w:tc>
          <w:tcPr>
            <w:tcW w:w="1181" w:type="dxa"/>
            <w:vAlign w:val="center"/>
          </w:tcPr>
          <w:p w14:paraId="17A5B98B">
            <w:pPr>
              <w:spacing w:line="300" w:lineRule="exact"/>
              <w:jc w:val="center"/>
              <w:rPr>
                <w:rFonts w:eastAsia="方正黑体_GBK"/>
                <w:bCs/>
                <w:sz w:val="21"/>
                <w:szCs w:val="21"/>
              </w:rPr>
            </w:pPr>
            <w:r>
              <w:rPr>
                <w:rFonts w:eastAsia="方正黑体_GBK"/>
                <w:bCs/>
                <w:sz w:val="21"/>
                <w:szCs w:val="21"/>
              </w:rPr>
              <w:t>是否进口</w:t>
            </w:r>
          </w:p>
        </w:tc>
      </w:tr>
      <w:tr w14:paraId="3084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3" w:type="dxa"/>
            <w:vAlign w:val="center"/>
          </w:tcPr>
          <w:p w14:paraId="654809A8">
            <w:pPr>
              <w:spacing w:line="300" w:lineRule="exact"/>
              <w:jc w:val="center"/>
              <w:rPr>
                <w:sz w:val="21"/>
                <w:szCs w:val="21"/>
              </w:rPr>
            </w:pPr>
            <w:r>
              <w:rPr>
                <w:rFonts w:hint="eastAsia"/>
                <w:sz w:val="21"/>
                <w:szCs w:val="21"/>
              </w:rPr>
              <w:t>1</w:t>
            </w:r>
          </w:p>
        </w:tc>
        <w:tc>
          <w:tcPr>
            <w:tcW w:w="884" w:type="dxa"/>
            <w:vAlign w:val="center"/>
          </w:tcPr>
          <w:p w14:paraId="17A7668C">
            <w:pPr>
              <w:spacing w:line="300" w:lineRule="exact"/>
              <w:rPr>
                <w:sz w:val="21"/>
                <w:szCs w:val="21"/>
              </w:rPr>
            </w:pPr>
            <w:r>
              <w:rPr>
                <w:rFonts w:hint="eastAsia"/>
                <w:sz w:val="21"/>
                <w:szCs w:val="21"/>
              </w:rPr>
              <w:t>1</w:t>
            </w:r>
          </w:p>
        </w:tc>
        <w:tc>
          <w:tcPr>
            <w:tcW w:w="2315" w:type="dxa"/>
            <w:vAlign w:val="center"/>
          </w:tcPr>
          <w:p w14:paraId="0C15CDA6">
            <w:pPr>
              <w:spacing w:line="300" w:lineRule="exact"/>
              <w:jc w:val="left"/>
              <w:rPr>
                <w:rFonts w:hint="eastAsia" w:eastAsia="方正仿宋_GBK"/>
                <w:sz w:val="21"/>
                <w:szCs w:val="21"/>
                <w:lang w:eastAsia="zh-CN"/>
              </w:rPr>
            </w:pPr>
            <w:r>
              <w:rPr>
                <w:rFonts w:hint="eastAsia"/>
                <w:sz w:val="21"/>
                <w:szCs w:val="21"/>
                <w:lang w:eastAsia="zh-CN"/>
              </w:rPr>
              <w:t>医院感染与传染病监测管理系统维护服务</w:t>
            </w:r>
          </w:p>
        </w:tc>
        <w:tc>
          <w:tcPr>
            <w:tcW w:w="1538" w:type="dxa"/>
            <w:vAlign w:val="center"/>
          </w:tcPr>
          <w:p w14:paraId="12A47725">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auto"/>
              <w:rPr>
                <w:sz w:val="21"/>
                <w:szCs w:val="21"/>
              </w:rPr>
            </w:pPr>
            <w:r>
              <w:rPr>
                <w:sz w:val="21"/>
                <w:szCs w:val="21"/>
              </w:rPr>
              <w:t>项</w:t>
            </w:r>
          </w:p>
        </w:tc>
        <w:tc>
          <w:tcPr>
            <w:tcW w:w="1116" w:type="dxa"/>
            <w:vAlign w:val="center"/>
          </w:tcPr>
          <w:p w14:paraId="4A7B781E">
            <w:pPr>
              <w:spacing w:line="300" w:lineRule="exact"/>
              <w:ind w:firstLine="420" w:firstLineChars="200"/>
              <w:rPr>
                <w:sz w:val="21"/>
                <w:szCs w:val="21"/>
              </w:rPr>
            </w:pPr>
            <w:r>
              <w:rPr>
                <w:rFonts w:hint="eastAsia"/>
                <w:sz w:val="21"/>
                <w:szCs w:val="21"/>
              </w:rPr>
              <w:t>1</w:t>
            </w:r>
          </w:p>
        </w:tc>
        <w:tc>
          <w:tcPr>
            <w:tcW w:w="1181" w:type="dxa"/>
            <w:vAlign w:val="center"/>
          </w:tcPr>
          <w:p w14:paraId="7DBC0125">
            <w:pPr>
              <w:spacing w:line="300" w:lineRule="exact"/>
              <w:ind w:firstLine="420" w:firstLineChars="200"/>
              <w:rPr>
                <w:sz w:val="21"/>
                <w:szCs w:val="21"/>
              </w:rPr>
            </w:pPr>
            <w:r>
              <w:rPr>
                <w:rFonts w:hint="eastAsia"/>
                <w:sz w:val="21"/>
                <w:szCs w:val="21"/>
              </w:rPr>
              <w:t>否</w:t>
            </w:r>
          </w:p>
        </w:tc>
      </w:tr>
    </w:tbl>
    <w:p w14:paraId="264DB25E">
      <w:pPr>
        <w:spacing w:line="500" w:lineRule="exact"/>
        <w:rPr>
          <w:bCs/>
          <w:szCs w:val="32"/>
        </w:rPr>
      </w:pPr>
      <w:r>
        <w:rPr>
          <w:rFonts w:eastAsia="方正黑体_GBK"/>
          <w:bCs/>
          <w:szCs w:val="32"/>
        </w:rPr>
        <w:t xml:space="preserve">     </w:t>
      </w:r>
      <w:r>
        <w:rPr>
          <w:rFonts w:hint="eastAsia" w:eastAsia="方正黑体_GBK"/>
          <w:bCs/>
          <w:szCs w:val="32"/>
        </w:rPr>
        <w:t>四</w:t>
      </w:r>
      <w:r>
        <w:rPr>
          <w:rFonts w:eastAsia="方正黑体_GBK"/>
          <w:bCs/>
          <w:szCs w:val="32"/>
        </w:rPr>
        <w:t>、技术要求和商务要求</w:t>
      </w:r>
    </w:p>
    <w:p w14:paraId="7DFC5BB3">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▲1、配合采购人准备院感和传染病相关评审数据和资料。</w:t>
      </w:r>
    </w:p>
    <w:p w14:paraId="1A182974">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▲2、根据采购人业务需求，持续提供该软件的升级服务。</w:t>
      </w:r>
    </w:p>
    <w:p w14:paraId="09096124">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3、对采购人使用部门提出的问题进行分析解答。</w:t>
      </w:r>
    </w:p>
    <w:p w14:paraId="05E5D210">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4、修正软件使用过程中发现的错误。</w:t>
      </w:r>
    </w:p>
    <w:p w14:paraId="7C47DB86">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▲5、与本软件已实现的接口要积极配合问题的排查及调试。</w:t>
      </w:r>
    </w:p>
    <w:p w14:paraId="7FECF3D3">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6、根据国家相关法律法规的变化及时调整软件功能，以适应业务需求。</w:t>
      </w:r>
    </w:p>
    <w:p w14:paraId="0419076C">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7、技术热线：软件维护方要设立专门的售后服务热线（提供7*24电话服务），为采购人快捷排除故障。</w:t>
      </w:r>
    </w:p>
    <w:p w14:paraId="32240AA9">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▲8、应急服务：针对产品自身缺陷引起的系统故障、系统宕机以及为了满足医院紧急业务的处理等需求所做的非规范化软件修改从而导致的故障，工程师到达现场后2小时内修复这些问题，或者提供解决方案。</w:t>
      </w:r>
    </w:p>
    <w:p w14:paraId="4AF77957">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9、咨询服务：维护方需提供软件需求分析、优化，软件的整体和分期规划与设计，整体解决方案等专业咨询服务。</w:t>
      </w:r>
    </w:p>
    <w:p w14:paraId="5BC79C7B">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▲10、培训服务：维护方需提供专业的培训服务，协助采购人提升自我维护和应用系统管理能力，实现系统的最大价值。</w:t>
      </w:r>
    </w:p>
    <w:p w14:paraId="3886385C">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11、数据恢复服务：数据出现丢失时，维护方需根据采购人提供的备份数据，协助采购人进行数据恢复。</w:t>
      </w:r>
    </w:p>
    <w:p w14:paraId="589B1CD9">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▲12、网络服务：维护方建立本项目专属维护微信群，方便问题及时反馈和解决。</w:t>
      </w:r>
    </w:p>
    <w:p w14:paraId="6ACE6B3E">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13、热线支持：维护方技术人员通过电话向采购人提供技术问题解答的过程，0.5小时内响应。</w:t>
      </w:r>
    </w:p>
    <w:p w14:paraId="261C48F9">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▲14、在线支持：维护方技术人员通过在线支持系统（QQ等）接收、解答用户问题，0.5小时内响应。</w:t>
      </w:r>
    </w:p>
    <w:p w14:paraId="4CE39CC8">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▲15、远程维护：维护方技术人员通过远程系统对采购人的软件进行维护，2小时内响应。</w:t>
      </w:r>
    </w:p>
    <w:p w14:paraId="116123C3">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▲16、现场响应：遇到使用及技术问题，电话咨询不能解决的，在24小时内到达现场进行处理，确保系统正常工作；无法在2小时内解决的，应及时报备采购人。</w:t>
      </w:r>
    </w:p>
    <w:p w14:paraId="16F7A3EC">
      <w:pPr>
        <w:shd w:val="clear" w:color="auto" w:fill="FFFFFF"/>
        <w:tabs>
          <w:tab w:val="left" w:pos="720"/>
          <w:tab w:val="left" w:pos="900"/>
        </w:tabs>
        <w:snapToGrid w:val="0"/>
        <w:spacing w:line="560" w:lineRule="exact"/>
        <w:ind w:firstLine="643" w:firstLineChars="200"/>
        <w:rPr>
          <w:rFonts w:hint="eastAsia" w:ascii="黑体" w:hAnsi="黑体" w:eastAsia="黑体" w:cs="黑体"/>
          <w:b/>
          <w:bCs/>
          <w:color w:val="000000"/>
          <w:sz w:val="32"/>
          <w:szCs w:val="32"/>
          <w:highlight w:val="none"/>
          <w:shd w:val="clear" w:color="auto" w:fill="FFFFFF"/>
          <w:lang w:val="en-US" w:eastAsia="zh-CN"/>
        </w:rPr>
      </w:pPr>
      <w:r>
        <w:rPr>
          <w:rFonts w:hint="default" w:ascii="Times New Roman" w:hAnsi="Times New Roman" w:cs="Times New Roman"/>
          <w:b/>
          <w:bCs/>
          <w:sz w:val="32"/>
          <w:szCs w:val="32"/>
          <w:shd w:val="clear" w:color="auto" w:fill="FFFFFF"/>
        </w:rPr>
        <w:t>★</w:t>
      </w:r>
      <w:r>
        <w:rPr>
          <w:rFonts w:hint="eastAsia" w:ascii="黑体" w:hAnsi="黑体" w:eastAsia="黑体" w:cs="黑体"/>
          <w:b/>
          <w:bCs/>
          <w:color w:val="000000"/>
          <w:sz w:val="32"/>
          <w:szCs w:val="32"/>
          <w:highlight w:val="none"/>
          <w:shd w:val="clear" w:color="auto" w:fill="FFFFFF"/>
        </w:rPr>
        <w:t>三、商务要</w:t>
      </w:r>
      <w:r>
        <w:rPr>
          <w:rFonts w:hint="eastAsia" w:ascii="黑体" w:hAnsi="黑体" w:eastAsia="黑体" w:cs="黑体"/>
          <w:b/>
          <w:bCs/>
          <w:color w:val="000000"/>
          <w:sz w:val="32"/>
          <w:szCs w:val="32"/>
          <w:highlight w:val="none"/>
          <w:shd w:val="clear" w:color="auto" w:fill="FFFFFF"/>
          <w:lang w:val="en-US" w:eastAsia="zh-CN"/>
        </w:rPr>
        <w:t>求</w:t>
      </w:r>
    </w:p>
    <w:p w14:paraId="641D8B3F">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1.服务期限：自合同签订之日起三年。</w:t>
      </w:r>
    </w:p>
    <w:p w14:paraId="7DB41039">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2.报价：本项目预算</w:t>
      </w:r>
      <w:r>
        <w:rPr>
          <w:rFonts w:hint="eastAsia" w:ascii="仿宋" w:hAnsi="仿宋" w:eastAsia="仿宋" w:cs="仿宋"/>
          <w:sz w:val="32"/>
          <w:szCs w:val="32"/>
          <w:highlight w:val="none"/>
          <w:shd w:val="clear" w:color="auto" w:fill="FFFFFF"/>
          <w:lang w:val="en-US" w:eastAsia="zh-CN"/>
        </w:rPr>
        <w:t>2.28万元/</w:t>
      </w:r>
      <w:r>
        <w:rPr>
          <w:rFonts w:hint="eastAsia" w:ascii="仿宋" w:hAnsi="仿宋" w:eastAsia="仿宋" w:cs="仿宋"/>
          <w:sz w:val="32"/>
          <w:szCs w:val="32"/>
          <w:shd w:val="clear" w:color="auto" w:fill="FFFFFF"/>
          <w:lang w:val="en-US" w:eastAsia="zh-CN"/>
        </w:rPr>
        <w:t>年，一采3年；报价超过采购预算，其投标文件按无效处理。</w:t>
      </w:r>
    </w:p>
    <w:p w14:paraId="3A31E795">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3.付款方式：合同签订后，每年合同约定的服务时间履行完毕后,乙方按甲方要求完成相关维护且无其它任何形求的违约情形的前提下,与甲方签订年度维保质量评价表后,甲方收到乙方开具的合法票据及相关付款资料后10个工作日内，甲方向乙方支付单年合同款100％。</w:t>
      </w:r>
    </w:p>
    <w:p w14:paraId="397F3826">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4.服务地点：成都市中西医结合医院南区。</w:t>
      </w:r>
    </w:p>
    <w:p w14:paraId="4EF9B485">
      <w:pPr>
        <w:shd w:val="clear" w:color="auto" w:fill="FFFFFF"/>
        <w:tabs>
          <w:tab w:val="left" w:pos="720"/>
          <w:tab w:val="left" w:pos="900"/>
        </w:tabs>
        <w:adjustRightInd w:val="0"/>
        <w:snapToGrid w:val="0"/>
        <w:spacing w:line="56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5.验收要求：按照相关法律法规的要求进行履约验收。</w:t>
      </w:r>
    </w:p>
    <w:p w14:paraId="5A795452">
      <w:pPr>
        <w:shd w:val="clear" w:color="auto" w:fill="FFFFFF"/>
        <w:tabs>
          <w:tab w:val="left" w:pos="720"/>
          <w:tab w:val="left" w:pos="900"/>
        </w:tabs>
        <w:adjustRightInd w:val="0"/>
        <w:snapToGrid w:val="0"/>
        <w:spacing w:line="560" w:lineRule="exact"/>
        <w:ind w:firstLine="643" w:firstLineChars="200"/>
        <w:rPr>
          <w:rFonts w:hint="default" w:ascii="Times New Roman" w:hAnsi="Times New Roman" w:cs="Times New Roman"/>
          <w:sz w:val="32"/>
          <w:szCs w:val="32"/>
          <w:shd w:val="clear" w:color="auto" w:fill="FFFFFF"/>
          <w:lang w:val="en-US" w:eastAsia="zh-CN"/>
        </w:rPr>
      </w:pPr>
      <w:r>
        <w:rPr>
          <w:rFonts w:hint="eastAsia" w:ascii="仿宋" w:hAnsi="仿宋" w:eastAsia="仿宋" w:cs="仿宋"/>
          <w:b/>
          <w:bCs/>
          <w:sz w:val="32"/>
          <w:szCs w:val="32"/>
          <w:shd w:val="clear" w:color="auto" w:fill="FFFFFF"/>
          <w:lang w:val="en-US" w:eastAsia="zh-CN"/>
        </w:rPr>
        <w:t>注：本章中标注“★”的条款为实质性要求，未响应或不满足，按无效响应处理，标注“▲”的条款为重要性参数。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19E43775"/>
    <w:rsid w:val="3933030F"/>
    <w:rsid w:val="48A56F3E"/>
    <w:rsid w:val="50231DD7"/>
    <w:rsid w:val="6F69270C"/>
    <w:rsid w:val="71E72E8F"/>
    <w:rsid w:val="74B35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3"/>
    <w:basedOn w:val="1"/>
    <w:qFormat/>
    <w:uiPriority w:val="99"/>
    <w:pPr>
      <w:spacing w:line="500" w:lineRule="exact"/>
    </w:pPr>
    <w:rPr>
      <w:b/>
      <w:bCs/>
      <w:sz w:val="24"/>
      <w:szCs w:val="24"/>
    </w:rPr>
  </w:style>
  <w:style w:type="paragraph" w:styleId="4">
    <w:name w:val="Body Text"/>
    <w:basedOn w:val="1"/>
    <w:next w:val="5"/>
    <w:qFormat/>
    <w:uiPriority w:val="0"/>
    <w:pPr>
      <w:spacing w:after="120"/>
    </w:pPr>
    <w:rPr>
      <w:rFonts w:ascii="等线" w:hAnsi="等线" w:eastAsia="Times New Roman" w:cs="Times New Roman"/>
      <w:sz w:val="21"/>
      <w:szCs w:val="24"/>
    </w:rPr>
  </w:style>
  <w:style w:type="paragraph" w:styleId="5">
    <w:name w:val="Body Text First Indent"/>
    <w:basedOn w:val="4"/>
    <w:next w:val="6"/>
    <w:qFormat/>
    <w:uiPriority w:val="0"/>
    <w:pPr>
      <w:ind w:firstLine="420" w:firstLineChars="100"/>
    </w:pPr>
  </w:style>
  <w:style w:type="paragraph" w:styleId="6">
    <w:name w:val="Plain Text"/>
    <w:basedOn w:val="1"/>
    <w:next w:val="1"/>
    <w:qFormat/>
    <w:uiPriority w:val="0"/>
    <w:rPr>
      <w:rFonts w:ascii="宋体" w:hAnsi="Courier New" w:eastAsia="Times New Roman" w:cs="Times New Roman"/>
      <w:sz w:val="21"/>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1102</Words>
  <Characters>1265</Characters>
  <Lines>0</Lines>
  <Paragraphs>0</Paragraphs>
  <TotalTime>0</TotalTime>
  <ScaleCrop>false</ScaleCrop>
  <LinksUpToDate>false</LinksUpToDate>
  <CharactersWithSpaces>1276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余雪彬</cp:lastModifiedBy>
  <dcterms:modified xsi:type="dcterms:W3CDTF">2025-10-22T08:10:52Z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C953EDF3BCED4EEBAE35A113EDBC8BCC_11</vt:lpwstr>
  </property>
  <property fmtid="{D5CDD505-2E9C-101B-9397-08002B2CF9AE}" pid="4" name="KSOTemplateDocerSaveRecord">
    <vt:lpwstr>eyJoZGlkIjoiMTQzOTgyN2VkM2ZmMDhiNmJkNjI4Mzk3NzliNWVkZjMiLCJ1c2VySWQiOiIxNjc4NTI4MzI5In0=</vt:lpwstr>
  </property>
</Properties>
</file>