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548DD">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620C2F0D">
      <w:pPr>
        <w:shd w:val="clear" w:color="auto" w:fill="FFFFFF"/>
        <w:tabs>
          <w:tab w:val="left" w:pos="720"/>
          <w:tab w:val="left" w:pos="900"/>
        </w:tabs>
        <w:adjustRightInd w:val="0"/>
        <w:snapToGrid w:val="0"/>
        <w:spacing w:line="560" w:lineRule="exact"/>
        <w:ind w:firstLine="880" w:firstLineChars="200"/>
        <w:jc w:val="center"/>
        <w:rPr>
          <w:rFonts w:hint="eastAsia"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0074F4D8">
      <w:pPr>
        <w:shd w:val="clear" w:color="auto" w:fill="FFFFFF"/>
        <w:tabs>
          <w:tab w:val="left" w:pos="720"/>
          <w:tab w:val="left" w:pos="900"/>
        </w:tabs>
        <w:adjustRightInd w:val="0"/>
        <w:snapToGrid w:val="0"/>
        <w:spacing w:line="560" w:lineRule="exact"/>
        <w:ind w:firstLine="880" w:firstLineChars="200"/>
        <w:jc w:val="center"/>
        <w:rPr>
          <w:rFonts w:hint="eastAsia" w:ascii="方正小标宋_GBK" w:hAnsi="方正小标宋_GBK" w:eastAsia="方正小标宋_GBK" w:cs="方正小标宋_GBK"/>
          <w:b w:val="0"/>
          <w:bCs/>
          <w:kern w:val="44"/>
          <w:sz w:val="44"/>
          <w:szCs w:val="36"/>
          <w:highlight w:val="none"/>
          <w:lang w:val="en-US" w:eastAsia="zh-CN" w:bidi="ar-SA"/>
        </w:rPr>
      </w:pPr>
    </w:p>
    <w:p w14:paraId="3C7142BF">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sz w:val="32"/>
          <w:szCs w:val="32"/>
          <w:highlight w:val="none"/>
          <w:shd w:val="clear" w:color="auto" w:fill="FFFFFF"/>
        </w:rPr>
        <w:t>一、比选项目内容</w:t>
      </w:r>
    </w:p>
    <w:p w14:paraId="04F67C85">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本项目共1个包件，采购</w:t>
      </w:r>
      <w:r>
        <w:rPr>
          <w:rFonts w:hint="eastAsia" w:ascii="仿宋_GB2312" w:hAnsi="仿宋_GB2312" w:eastAsia="仿宋_GB2312" w:cs="仿宋_GB2312"/>
          <w:sz w:val="32"/>
          <w:szCs w:val="32"/>
          <w:highlight w:val="none"/>
          <w:shd w:val="clear" w:color="auto" w:fill="FFFFFF"/>
          <w:lang w:eastAsia="zh-CN"/>
        </w:rPr>
        <w:t>《柳叶刀与算法智能时代的外科实践》专著出版服务</w:t>
      </w:r>
      <w:r>
        <w:rPr>
          <w:rFonts w:hint="eastAsia" w:ascii="仿宋_GB2312" w:hAnsi="仿宋_GB2312" w:eastAsia="仿宋_GB2312" w:cs="仿宋_GB2312"/>
          <w:sz w:val="32"/>
          <w:szCs w:val="32"/>
          <w:highlight w:val="none"/>
          <w:shd w:val="clear" w:color="auto" w:fill="FFFFFF"/>
        </w:rPr>
        <w:t>项目，预算金额</w:t>
      </w:r>
      <w:r>
        <w:rPr>
          <w:rFonts w:hint="eastAsia" w:ascii="仿宋_GB2312" w:hAnsi="仿宋_GB2312" w:eastAsia="仿宋_GB2312" w:cs="仿宋_GB2312"/>
          <w:sz w:val="32"/>
          <w:szCs w:val="32"/>
          <w:highlight w:val="none"/>
          <w:shd w:val="clear" w:color="auto" w:fill="FFFFFF"/>
          <w:lang w:val="en-US" w:eastAsia="zh-CN"/>
        </w:rPr>
        <w:t>6.89</w:t>
      </w:r>
      <w:r>
        <w:rPr>
          <w:rFonts w:hint="eastAsia" w:ascii="仿宋_GB2312" w:hAnsi="仿宋_GB2312" w:eastAsia="仿宋_GB2312" w:cs="仿宋_GB2312"/>
          <w:sz w:val="32"/>
          <w:szCs w:val="32"/>
          <w:highlight w:val="none"/>
          <w:shd w:val="clear" w:color="auto" w:fill="FFFFFF"/>
        </w:rPr>
        <w:t>万元。</w:t>
      </w:r>
    </w:p>
    <w:tbl>
      <w:tblPr>
        <w:tblStyle w:val="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531EB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vAlign w:val="center"/>
          </w:tcPr>
          <w:p w14:paraId="579402D2">
            <w:pPr>
              <w:pageBreakBefore w:val="0"/>
              <w:widowControl w:val="0"/>
              <w:shd w:val="clear" w:color="auto" w:fill="FFFFFF"/>
              <w:tabs>
                <w:tab w:val="left" w:pos="720"/>
              </w:tabs>
              <w:kinsoku/>
              <w:wordWrap/>
              <w:overflowPunct/>
              <w:topLinePunct w:val="0"/>
              <w:autoSpaceDE/>
              <w:autoSpaceDN/>
              <w:bidi w:val="0"/>
              <w:snapToGrid w:val="0"/>
              <w:spacing w:line="360" w:lineRule="auto"/>
              <w:jc w:val="center"/>
              <w:textAlignment w:val="auto"/>
              <w:rPr>
                <w:rFonts w:ascii="Times New Roman" w:hAnsi="Times New Roman" w:eastAsia="仿宋_GB2312" w:cs="Times New Roman"/>
                <w:b/>
                <w:sz w:val="28"/>
                <w:szCs w:val="28"/>
                <w:highlight w:val="none"/>
                <w:shd w:val="clear" w:color="auto" w:fill="FFFFFF"/>
              </w:rPr>
            </w:pPr>
            <w:r>
              <w:rPr>
                <w:rFonts w:ascii="Times New Roman" w:hAnsi="Times New Roman" w:eastAsia="仿宋_GB2312" w:cs="Times New Roman"/>
                <w:b/>
                <w:sz w:val="28"/>
                <w:szCs w:val="28"/>
                <w:highlight w:val="none"/>
                <w:shd w:val="clear" w:color="auto" w:fill="FFFFFF"/>
              </w:rPr>
              <w:t>包件</w:t>
            </w:r>
          </w:p>
        </w:tc>
        <w:tc>
          <w:tcPr>
            <w:tcW w:w="3352" w:type="dxa"/>
            <w:vAlign w:val="center"/>
          </w:tcPr>
          <w:p w14:paraId="300F2477">
            <w:pPr>
              <w:pageBreakBefore w:val="0"/>
              <w:widowControl w:val="0"/>
              <w:shd w:val="clear" w:color="auto" w:fill="FFFFFF"/>
              <w:tabs>
                <w:tab w:val="left" w:pos="720"/>
              </w:tabs>
              <w:kinsoku/>
              <w:wordWrap/>
              <w:overflowPunct/>
              <w:topLinePunct w:val="0"/>
              <w:autoSpaceDE/>
              <w:autoSpaceDN/>
              <w:bidi w:val="0"/>
              <w:snapToGrid w:val="0"/>
              <w:spacing w:line="360" w:lineRule="auto"/>
              <w:jc w:val="center"/>
              <w:textAlignment w:val="auto"/>
              <w:rPr>
                <w:rFonts w:ascii="Times New Roman" w:hAnsi="Times New Roman" w:eastAsia="仿宋_GB2312" w:cs="Times New Roman"/>
                <w:b/>
                <w:sz w:val="28"/>
                <w:szCs w:val="28"/>
                <w:highlight w:val="none"/>
                <w:shd w:val="clear" w:color="auto" w:fill="FFFFFF"/>
              </w:rPr>
            </w:pPr>
            <w:r>
              <w:rPr>
                <w:rFonts w:hint="eastAsia" w:ascii="Times New Roman" w:hAnsi="Times New Roman" w:eastAsia="仿宋_GB2312" w:cs="Times New Roman"/>
                <w:b/>
                <w:sz w:val="28"/>
                <w:szCs w:val="28"/>
                <w:highlight w:val="none"/>
                <w:shd w:val="clear" w:color="auto" w:fill="FFFFFF"/>
              </w:rPr>
              <w:t>标的</w:t>
            </w:r>
            <w:r>
              <w:rPr>
                <w:rFonts w:ascii="Times New Roman" w:hAnsi="Times New Roman" w:eastAsia="仿宋_GB2312" w:cs="Times New Roman"/>
                <w:b/>
                <w:sz w:val="28"/>
                <w:szCs w:val="28"/>
                <w:highlight w:val="none"/>
                <w:shd w:val="clear" w:color="auto" w:fill="FFFFFF"/>
              </w:rPr>
              <w:t>名称</w:t>
            </w:r>
          </w:p>
        </w:tc>
        <w:tc>
          <w:tcPr>
            <w:tcW w:w="1680" w:type="dxa"/>
            <w:vAlign w:val="center"/>
          </w:tcPr>
          <w:p w14:paraId="57E4177D">
            <w:pPr>
              <w:pageBreakBefore w:val="0"/>
              <w:widowControl w:val="0"/>
              <w:shd w:val="clear" w:color="auto" w:fill="FFFFFF"/>
              <w:tabs>
                <w:tab w:val="left" w:pos="720"/>
              </w:tabs>
              <w:kinsoku/>
              <w:wordWrap/>
              <w:overflowPunct/>
              <w:topLinePunct w:val="0"/>
              <w:autoSpaceDE/>
              <w:autoSpaceDN/>
              <w:bidi w:val="0"/>
              <w:snapToGrid w:val="0"/>
              <w:spacing w:line="360" w:lineRule="auto"/>
              <w:jc w:val="center"/>
              <w:textAlignment w:val="auto"/>
              <w:rPr>
                <w:rFonts w:ascii="Times New Roman" w:hAnsi="Times New Roman" w:eastAsia="仿宋_GB2312" w:cs="Times New Roman"/>
                <w:b/>
                <w:sz w:val="28"/>
                <w:szCs w:val="28"/>
                <w:highlight w:val="none"/>
                <w:shd w:val="clear" w:color="auto" w:fill="FFFFFF"/>
              </w:rPr>
            </w:pPr>
            <w:r>
              <w:rPr>
                <w:rFonts w:ascii="Times New Roman" w:hAnsi="Times New Roman" w:eastAsia="仿宋_GB2312" w:cs="Times New Roman"/>
                <w:b/>
                <w:sz w:val="28"/>
                <w:szCs w:val="28"/>
                <w:highlight w:val="none"/>
                <w:shd w:val="clear" w:color="auto" w:fill="FFFFFF"/>
              </w:rPr>
              <w:t>数量</w:t>
            </w:r>
            <w:r>
              <w:rPr>
                <w:rFonts w:hint="eastAsia" w:ascii="Times New Roman" w:hAnsi="Times New Roman" w:eastAsia="仿宋_GB2312" w:cs="Times New Roman"/>
                <w:b/>
                <w:sz w:val="28"/>
                <w:szCs w:val="28"/>
                <w:highlight w:val="none"/>
                <w:shd w:val="clear" w:color="auto" w:fill="FFFFFF"/>
              </w:rPr>
              <w:t>（项）</w:t>
            </w:r>
          </w:p>
        </w:tc>
        <w:tc>
          <w:tcPr>
            <w:tcW w:w="2539" w:type="dxa"/>
            <w:vAlign w:val="center"/>
          </w:tcPr>
          <w:p w14:paraId="54017DC7">
            <w:pPr>
              <w:pageBreakBefore w:val="0"/>
              <w:widowControl w:val="0"/>
              <w:shd w:val="clear" w:color="auto" w:fill="FFFFFF"/>
              <w:tabs>
                <w:tab w:val="left" w:pos="720"/>
              </w:tabs>
              <w:kinsoku/>
              <w:wordWrap/>
              <w:overflowPunct/>
              <w:topLinePunct w:val="0"/>
              <w:autoSpaceDE/>
              <w:autoSpaceDN/>
              <w:bidi w:val="0"/>
              <w:snapToGrid w:val="0"/>
              <w:spacing w:line="360" w:lineRule="auto"/>
              <w:jc w:val="center"/>
              <w:textAlignment w:val="auto"/>
              <w:rPr>
                <w:rFonts w:ascii="Times New Roman" w:hAnsi="Times New Roman" w:eastAsia="仿宋_GB2312" w:cs="Times New Roman"/>
                <w:b/>
                <w:sz w:val="28"/>
                <w:szCs w:val="28"/>
                <w:highlight w:val="none"/>
                <w:shd w:val="clear" w:color="auto" w:fill="FFFFFF"/>
              </w:rPr>
            </w:pPr>
            <w:r>
              <w:rPr>
                <w:rFonts w:hint="eastAsia" w:ascii="Times New Roman" w:hAnsi="Times New Roman" w:eastAsia="仿宋_GB2312" w:cs="Times New Roman"/>
                <w:b/>
                <w:sz w:val="28"/>
                <w:szCs w:val="28"/>
                <w:highlight w:val="none"/>
                <w:shd w:val="clear" w:color="auto" w:fill="FFFFFF"/>
              </w:rPr>
              <w:t>预算金额（万元）</w:t>
            </w:r>
          </w:p>
        </w:tc>
      </w:tr>
      <w:tr w14:paraId="076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vAlign w:val="center"/>
          </w:tcPr>
          <w:p w14:paraId="53C9EC23">
            <w:pPr>
              <w:pageBreakBefore w:val="0"/>
              <w:widowControl w:val="0"/>
              <w:shd w:val="clear" w:color="auto" w:fill="FFFFFF"/>
              <w:tabs>
                <w:tab w:val="left" w:pos="720"/>
              </w:tabs>
              <w:kinsoku/>
              <w:wordWrap/>
              <w:overflowPunct/>
              <w:topLinePunct w:val="0"/>
              <w:autoSpaceDE/>
              <w:autoSpaceDN/>
              <w:bidi w:val="0"/>
              <w:snapToGrid w:val="0"/>
              <w:spacing w:line="360" w:lineRule="auto"/>
              <w:jc w:val="center"/>
              <w:textAlignment w:val="auto"/>
              <w:rPr>
                <w:rFonts w:ascii="Times New Roman" w:hAnsi="Times New Roman" w:eastAsia="仿宋_GB2312" w:cs="Times New Roman"/>
                <w:sz w:val="28"/>
                <w:szCs w:val="28"/>
                <w:highlight w:val="none"/>
                <w:shd w:val="clear" w:color="auto" w:fill="FFFFFF"/>
              </w:rPr>
            </w:pPr>
            <w:r>
              <w:rPr>
                <w:rFonts w:hint="eastAsia" w:ascii="Times New Roman" w:hAnsi="Times New Roman" w:eastAsia="仿宋_GB2312" w:cs="Times New Roman"/>
                <w:sz w:val="28"/>
                <w:szCs w:val="28"/>
                <w:highlight w:val="none"/>
                <w:shd w:val="clear" w:color="auto" w:fill="FFFFFF"/>
              </w:rPr>
              <w:t>1</w:t>
            </w:r>
          </w:p>
        </w:tc>
        <w:tc>
          <w:tcPr>
            <w:tcW w:w="3352" w:type="dxa"/>
            <w:vAlign w:val="center"/>
          </w:tcPr>
          <w:p w14:paraId="560D8AA1">
            <w:pPr>
              <w:pageBreakBefore w:val="0"/>
              <w:widowControl w:val="0"/>
              <w:shd w:val="clear" w:color="auto" w:fill="FFFFFF"/>
              <w:tabs>
                <w:tab w:val="left" w:pos="720"/>
              </w:tabs>
              <w:kinsoku/>
              <w:wordWrap/>
              <w:overflowPunct/>
              <w:topLinePunct w:val="0"/>
              <w:autoSpaceDE/>
              <w:autoSpaceDN/>
              <w:bidi w:val="0"/>
              <w:snapToGrid w:val="0"/>
              <w:spacing w:line="360" w:lineRule="auto"/>
              <w:jc w:val="center"/>
              <w:textAlignment w:val="auto"/>
              <w:rPr>
                <w:rFonts w:hint="eastAsia" w:ascii="Times New Roman" w:hAnsi="Times New Roman" w:eastAsia="仿宋_GB2312" w:cs="Times New Roman"/>
                <w:sz w:val="28"/>
                <w:szCs w:val="28"/>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lang w:eastAsia="zh-CN"/>
              </w:rPr>
              <w:t>《柳叶刀与算法智能时代的外科实践》专著出版服务</w:t>
            </w:r>
          </w:p>
        </w:tc>
        <w:tc>
          <w:tcPr>
            <w:tcW w:w="1680" w:type="dxa"/>
            <w:vAlign w:val="center"/>
          </w:tcPr>
          <w:p w14:paraId="51CC8B31">
            <w:pPr>
              <w:pageBreakBefore w:val="0"/>
              <w:widowControl w:val="0"/>
              <w:kinsoku/>
              <w:wordWrap/>
              <w:overflowPunct/>
              <w:topLinePunct w:val="0"/>
              <w:autoSpaceDE/>
              <w:autoSpaceDN/>
              <w:bidi w:val="0"/>
              <w:spacing w:line="360" w:lineRule="auto"/>
              <w:jc w:val="center"/>
              <w:textAlignment w:val="auto"/>
              <w:rPr>
                <w:rFonts w:ascii="仿宋_GB2312" w:hAnsi="Times New Roman" w:eastAsia="仿宋_GB2312" w:cs="仿宋_GB2312"/>
                <w:sz w:val="36"/>
                <w:szCs w:val="36"/>
                <w:highlight w:val="none"/>
              </w:rPr>
            </w:pPr>
            <w:r>
              <w:rPr>
                <w:rFonts w:hint="eastAsia" w:ascii="仿宋_GB2312" w:hAnsi="Times New Roman" w:eastAsia="仿宋_GB2312" w:cs="仿宋_GB2312"/>
                <w:sz w:val="36"/>
                <w:szCs w:val="36"/>
                <w:highlight w:val="none"/>
              </w:rPr>
              <w:t>1</w:t>
            </w:r>
          </w:p>
        </w:tc>
        <w:tc>
          <w:tcPr>
            <w:tcW w:w="2539" w:type="dxa"/>
            <w:vAlign w:val="center"/>
          </w:tcPr>
          <w:p w14:paraId="31E36CB6">
            <w:pPr>
              <w:pageBreakBefore w:val="0"/>
              <w:widowControl w:val="0"/>
              <w:kinsoku/>
              <w:wordWrap/>
              <w:overflowPunct/>
              <w:topLinePunct w:val="0"/>
              <w:autoSpaceDE/>
              <w:autoSpaceDN/>
              <w:bidi w:val="0"/>
              <w:spacing w:line="360" w:lineRule="auto"/>
              <w:jc w:val="center"/>
              <w:textAlignment w:val="auto"/>
              <w:rPr>
                <w:rFonts w:hint="default" w:ascii="Times New Roman" w:hAnsi="Times New Roman" w:eastAsia="仿宋_GB2312" w:cs="Times New Roman"/>
                <w:sz w:val="28"/>
                <w:szCs w:val="28"/>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6.89</w:t>
            </w:r>
          </w:p>
        </w:tc>
      </w:tr>
    </w:tbl>
    <w:p w14:paraId="0C6F8C46">
      <w:pPr>
        <w:pageBreakBefore w:val="0"/>
        <w:widowControl w:val="0"/>
        <w:shd w:val="clear" w:color="auto" w:fill="FFFFFF"/>
        <w:tabs>
          <w:tab w:val="left" w:pos="720"/>
          <w:tab w:val="left" w:pos="900"/>
        </w:tabs>
        <w:kinsoku/>
        <w:wordWrap/>
        <w:overflowPunct/>
        <w:topLinePunct w:val="0"/>
        <w:autoSpaceDE/>
        <w:autoSpaceDN/>
        <w:bidi w:val="0"/>
        <w:snapToGrid w:val="0"/>
        <w:spacing w:line="360" w:lineRule="auto"/>
        <w:ind w:firstLine="640" w:firstLineChars="200"/>
        <w:textAlignment w:val="auto"/>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sz w:val="32"/>
          <w:szCs w:val="32"/>
          <w:highlight w:val="none"/>
          <w:shd w:val="clear" w:color="auto" w:fill="FFFFFF"/>
        </w:rPr>
        <w:t>二</w:t>
      </w:r>
      <w:r>
        <w:rPr>
          <w:rFonts w:ascii="Times New Roman" w:hAnsi="Times New Roman" w:eastAsia="黑体" w:cs="Times New Roman"/>
          <w:sz w:val="32"/>
          <w:szCs w:val="32"/>
          <w:highlight w:val="none"/>
          <w:shd w:val="clear" w:color="auto" w:fill="FFFFFF"/>
        </w:rPr>
        <w:t>、</w:t>
      </w:r>
      <w:r>
        <w:rPr>
          <w:rFonts w:hint="eastAsia" w:ascii="Times New Roman" w:hAnsi="Times New Roman" w:eastAsia="黑体" w:cs="Times New Roman"/>
          <w:sz w:val="32"/>
          <w:szCs w:val="32"/>
          <w:highlight w:val="none"/>
          <w:shd w:val="clear" w:color="auto" w:fill="FFFFFF"/>
          <w:lang w:val="en-US" w:eastAsia="zh-CN"/>
        </w:rPr>
        <w:t>技术、</w:t>
      </w:r>
      <w:r>
        <w:rPr>
          <w:rFonts w:hint="eastAsia" w:ascii="Times New Roman" w:hAnsi="Times New Roman" w:eastAsia="黑体" w:cs="Times New Roman"/>
          <w:sz w:val="32"/>
          <w:szCs w:val="32"/>
          <w:highlight w:val="none"/>
          <w:shd w:val="clear" w:color="auto" w:fill="FFFFFF"/>
        </w:rPr>
        <w:t>服务</w:t>
      </w:r>
      <w:r>
        <w:rPr>
          <w:rFonts w:ascii="Times New Roman" w:hAnsi="Times New Roman" w:eastAsia="黑体" w:cs="Times New Roman"/>
          <w:sz w:val="32"/>
          <w:szCs w:val="32"/>
          <w:highlight w:val="none"/>
          <w:shd w:val="clear" w:color="auto" w:fill="FFFFFF"/>
        </w:rPr>
        <w:t>要求</w:t>
      </w:r>
    </w:p>
    <w:p w14:paraId="4F412A28">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（一）</w:t>
      </w:r>
      <w:r>
        <w:rPr>
          <w:rFonts w:hint="eastAsia" w:ascii="仿宋_GB2312" w:hAnsi="仿宋_GB2312" w:eastAsia="仿宋_GB2312" w:cs="仿宋_GB2312"/>
          <w:sz w:val="32"/>
          <w:szCs w:val="32"/>
          <w:highlight w:val="none"/>
          <w:shd w:val="clear" w:color="auto" w:fill="FFFFFF"/>
          <w:lang w:val="en-US" w:eastAsia="zh-CN"/>
        </w:rPr>
        <w:t>技术要求</w:t>
      </w:r>
      <w:r>
        <w:rPr>
          <w:rFonts w:hint="eastAsia" w:ascii="仿宋_GB2312" w:hAnsi="仿宋_GB2312" w:eastAsia="仿宋_GB2312" w:cs="仿宋_GB2312"/>
          <w:sz w:val="32"/>
          <w:szCs w:val="32"/>
          <w:highlight w:val="none"/>
          <w:shd w:val="clear" w:color="auto" w:fill="FFFFFF"/>
        </w:rPr>
        <w:t>：</w:t>
      </w:r>
    </w:p>
    <w:p w14:paraId="44D803B7">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1.专著出版：完成一部约500千字（50万字）医学专著的完整出版流程，确保获得正规ISBN书号及CIP数据核字号。</w:t>
      </w:r>
    </w:p>
    <w:p w14:paraId="3501B0D9">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2.印制规格：成品尺寸</w:t>
      </w:r>
      <w:r>
        <w:rPr>
          <w:rFonts w:hint="eastAsia" w:ascii="仿宋_GB2312" w:hAnsi="仿宋_GB2312" w:eastAsia="仿宋_GB2312" w:cs="仿宋_GB2312"/>
          <w:sz w:val="32"/>
          <w:szCs w:val="32"/>
          <w:highlight w:val="none"/>
          <w:shd w:val="clear" w:color="auto" w:fill="FFFFFF"/>
          <w:lang w:val="en-US" w:eastAsia="zh-CN"/>
        </w:rPr>
        <w:t>为</w:t>
      </w:r>
      <w:r>
        <w:rPr>
          <w:rFonts w:hint="eastAsia" w:ascii="仿宋_GB2312" w:hAnsi="仿宋_GB2312" w:eastAsia="仿宋_GB2312" w:cs="仿宋_GB2312"/>
          <w:sz w:val="32"/>
          <w:szCs w:val="32"/>
          <w:highlight w:val="none"/>
          <w:shd w:val="clear" w:color="auto" w:fill="FFFFFF"/>
        </w:rPr>
        <w:t>正度16开（185mm×260mm）。</w:t>
      </w:r>
    </w:p>
    <w:p w14:paraId="51BB483C">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3.装帧方式：平装。</w:t>
      </w:r>
    </w:p>
    <w:p w14:paraId="7108E4B1">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4.印刷数量：500册。</w:t>
      </w:r>
    </w:p>
    <w:p w14:paraId="51ADE051">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shd w:val="clear" w:color="auto" w:fill="FFFFFF"/>
          <w:lang w:val="en-US" w:eastAsia="zh-CN"/>
        </w:rPr>
        <w:t>5.</w:t>
      </w:r>
      <w:r>
        <w:rPr>
          <w:rFonts w:hint="eastAsia" w:ascii="仿宋_GB2312" w:hAnsi="仿宋_GB2312" w:eastAsia="仿宋_GB2312" w:cs="仿宋_GB2312"/>
          <w:bCs/>
          <w:sz w:val="32"/>
          <w:szCs w:val="32"/>
          <w:highlight w:val="none"/>
        </w:rPr>
        <w:t>执行至少三审三校制度：初审、复审、终审三级审稿，校对环节不少于三轮（初校、二校、三校），并进行通读质检，确保稿件差错率低于万分之一，符合《标点符号用法》(GB/T15834-2011)、《出版物上数字用法》(GB/T15835-2011)的相关要求。</w:t>
      </w:r>
    </w:p>
    <w:p w14:paraId="51238B25">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6.</w:t>
      </w:r>
      <w:r>
        <w:rPr>
          <w:rFonts w:hint="eastAsia" w:ascii="仿宋_GB2312" w:hAnsi="仿宋_GB2312" w:eastAsia="仿宋_GB2312" w:cs="仿宋_GB2312"/>
          <w:b w:val="0"/>
          <w:bCs/>
          <w:sz w:val="32"/>
          <w:szCs w:val="32"/>
          <w:highlight w:val="none"/>
        </w:rPr>
        <w:t>出版物质量要求</w:t>
      </w:r>
      <w:r>
        <w:rPr>
          <w:rFonts w:hint="eastAsia" w:ascii="仿宋_GB2312" w:hAnsi="仿宋_GB2312" w:eastAsia="仿宋_GB2312" w:cs="仿宋_GB2312"/>
          <w:b w:val="0"/>
          <w:bCs/>
          <w:sz w:val="32"/>
          <w:szCs w:val="32"/>
          <w:highlight w:val="none"/>
          <w:lang w:eastAsia="zh-CN"/>
        </w:rPr>
        <w:t>：</w:t>
      </w:r>
    </w:p>
    <w:p w14:paraId="5DFE6F97">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文字清晰锐利，无重影、糊版或缺笔断划，字体大小符合采购人要求。</w:t>
      </w:r>
    </w:p>
    <w:p w14:paraId="78D6BEFA">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图表、公式、插图等线条流畅，标注清晰，色彩鲜明且套印准确。</w:t>
      </w:r>
    </w:p>
    <w:p w14:paraId="16BA2639">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3</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页码、页眉页脚等辅助信息位置统一，无错页、漏页或页码颠倒。</w:t>
      </w:r>
    </w:p>
    <w:p w14:paraId="5E7A0398">
      <w:pPr>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墨色均匀一致，无深浅不均或脏版现象，大面积底色需平整无条纹。</w:t>
      </w:r>
    </w:p>
    <w:p w14:paraId="25C3E703">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二</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服务要求：</w:t>
      </w:r>
    </w:p>
    <w:p w14:paraId="06736F95">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1</w:t>
      </w:r>
      <w:r>
        <w:rPr>
          <w:rFonts w:hint="eastAsia" w:ascii="仿宋_GB2312" w:hAnsi="仿宋_GB2312" w:eastAsia="仿宋_GB2312" w:cs="仿宋_GB2312"/>
          <w:sz w:val="32"/>
          <w:szCs w:val="32"/>
          <w:highlight w:val="none"/>
          <w:shd w:val="clear" w:color="auto" w:fill="FFFFFF"/>
        </w:rPr>
        <w:t>.服务范围：服务应完整涵盖文稿编辑、校对、排版、</w:t>
      </w:r>
      <w:r>
        <w:rPr>
          <w:rFonts w:hint="eastAsia" w:ascii="仿宋_GB2312" w:hAnsi="仿宋_GB2312" w:eastAsia="仿宋_GB2312" w:cs="仿宋_GB2312"/>
          <w:sz w:val="32"/>
          <w:szCs w:val="32"/>
          <w:highlight w:val="none"/>
          <w:shd w:val="clear" w:color="auto" w:fill="FFFFFF"/>
          <w:lang w:val="en-US" w:eastAsia="zh-CN"/>
        </w:rPr>
        <w:t>设计、</w:t>
      </w:r>
      <w:r>
        <w:rPr>
          <w:rFonts w:hint="eastAsia" w:ascii="仿宋_GB2312" w:hAnsi="仿宋_GB2312" w:eastAsia="仿宋_GB2312" w:cs="仿宋_GB2312"/>
          <w:sz w:val="32"/>
          <w:szCs w:val="32"/>
          <w:highlight w:val="none"/>
          <w:shd w:val="clear" w:color="auto" w:fill="FFFFFF"/>
        </w:rPr>
        <w:t>印刷、装订</w:t>
      </w:r>
      <w:r>
        <w:rPr>
          <w:rFonts w:hint="eastAsia" w:ascii="仿宋_GB2312" w:hAnsi="仿宋_GB2312" w:eastAsia="仿宋_GB2312" w:cs="仿宋_GB2312"/>
          <w:sz w:val="32"/>
          <w:szCs w:val="32"/>
          <w:highlight w:val="none"/>
          <w:shd w:val="clear" w:color="auto" w:fill="FFFFFF"/>
          <w:lang w:eastAsia="zh-CN"/>
        </w:rPr>
        <w:t>、</w:t>
      </w:r>
      <w:r>
        <w:rPr>
          <w:rFonts w:hint="eastAsia" w:ascii="仿宋_GB2312" w:hAnsi="仿宋_GB2312" w:eastAsia="仿宋_GB2312" w:cs="仿宋_GB2312"/>
          <w:sz w:val="32"/>
          <w:szCs w:val="32"/>
          <w:highlight w:val="none"/>
          <w:shd w:val="clear" w:color="auto" w:fill="FFFFFF"/>
          <w:lang w:val="en-US" w:eastAsia="zh-CN"/>
        </w:rPr>
        <w:t>出版社管理、书号申请、</w:t>
      </w:r>
      <w:r>
        <w:rPr>
          <w:rFonts w:hint="eastAsia" w:ascii="仿宋_GB2312" w:hAnsi="仿宋_GB2312" w:eastAsia="仿宋_GB2312" w:cs="仿宋_GB2312"/>
          <w:sz w:val="32"/>
          <w:szCs w:val="32"/>
          <w:highlight w:val="none"/>
          <w:shd w:val="clear" w:color="auto" w:fill="FFFFFF"/>
        </w:rPr>
        <w:t>包装送货上门等全部环节。</w:t>
      </w:r>
    </w:p>
    <w:p w14:paraId="3C2C17EC">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2.内文纸张与印刷方式由供应商结合预算和质量要求写进服务方案。</w:t>
      </w:r>
    </w:p>
    <w:p w14:paraId="687704C6">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sz w:val="32"/>
          <w:szCs w:val="32"/>
          <w:highlight w:val="none"/>
          <w:shd w:val="clear" w:color="auto" w:fill="FFFFFF"/>
          <w:lang w:val="en-US" w:eastAsia="zh-CN"/>
        </w:rPr>
        <w:t>3.</w:t>
      </w:r>
      <w:r>
        <w:rPr>
          <w:rFonts w:hint="eastAsia" w:ascii="仿宋_GB2312" w:hAnsi="仿宋_GB2312" w:eastAsia="仿宋_GB2312" w:cs="仿宋_GB2312"/>
          <w:bCs/>
          <w:sz w:val="32"/>
          <w:szCs w:val="32"/>
          <w:highlight w:val="none"/>
        </w:rPr>
        <w:t>编撰人员要求：成立不少于5人的编撰团队，工作职责包含但不限于：资料审核录入、资料研究和内容编撰、内容核校等。</w:t>
      </w:r>
    </w:p>
    <w:p w14:paraId="4D98D596">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rPr>
        <w:t>运输与交付</w:t>
      </w:r>
      <w:r>
        <w:rPr>
          <w:rFonts w:hint="eastAsia" w:ascii="仿宋_GB2312" w:hAnsi="仿宋_GB2312" w:eastAsia="仿宋_GB2312" w:cs="仿宋_GB2312"/>
          <w:b w:val="0"/>
          <w:bCs/>
          <w:sz w:val="32"/>
          <w:szCs w:val="32"/>
          <w:highlight w:val="none"/>
          <w:lang w:eastAsia="zh-CN"/>
        </w:rPr>
        <w:t>：</w:t>
      </w:r>
    </w:p>
    <w:p w14:paraId="70A71C1E">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1</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供应商负责将成品运输至采购人指定地点（成都市中西医结医院南区），运输过程中采取防潮、防震措施，确保出版物无破损、污损。</w:t>
      </w:r>
    </w:p>
    <w:p w14:paraId="30505058">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rPr>
        <w:t>供应商提供交付清单（至少包括书名、数量、规格），配合采购人完成数量清点及质量验收。</w:t>
      </w:r>
    </w:p>
    <w:p w14:paraId="64A4DFF8">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保密要求：供应商因履行本合同所获得的一切原始资料、信息及相关工作成果属采购人所有，供应商负有保密义务。供应商要确保编纂全过程安全保密，并签订保密协议，不得私自留存保密资料。未经采购方书面同意，供应商不得在合同期内或合同履行完毕后以任何方式对外泄露或用于与本项目无关的其他任何事项。如因供应商过错导致采购方遭受损失的，供应商应承担全部赔偿责任。采购人提供的所有技术资料和基础资料（文字、图纸、电子数据等）均受版权保护，未经采购方授权，任何人不得将其内容复制、引用、改编、分发、发布、外借、转让。</w:t>
      </w:r>
    </w:p>
    <w:p w14:paraId="1BD84A83">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安全责任：在履行合同过程中，由供应商自行负责和承担相关安全责任。供应商应按有关规定采取严格的项目实施安全措施，承担由于自身安全措施不力造成的事故责任和因此发生的费用及后果，供应商投入本项目工作人员的人身安全由供应商负责。供应商应为本项目工作人员购买人身意外伤害险及与项目实施有关的一切保险。凡在项目实施过程中发生安全事故或其他责任事故，均由供应商承担。</w:t>
      </w:r>
    </w:p>
    <w:p w14:paraId="75B0C39E">
      <w:pPr>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.出版物在正常印刷情况下发生质量问题时，供应商承诺严格按照采购人的要求，在规定时间内无条件进行补印或重印。</w:t>
      </w:r>
    </w:p>
    <w:p w14:paraId="3EB20204">
      <w:pPr>
        <w:pageBreakBefore w:val="0"/>
        <w:widowControl w:val="0"/>
        <w:kinsoku/>
        <w:wordWrap/>
        <w:overflowPunct/>
        <w:topLinePunct w:val="0"/>
        <w:autoSpaceDE/>
        <w:autoSpaceDN/>
        <w:bidi w:val="0"/>
        <w:spacing w:line="360" w:lineRule="auto"/>
        <w:ind w:firstLine="640" w:firstLineChars="200"/>
        <w:textAlignment w:val="auto"/>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8</w:t>
      </w:r>
      <w:r>
        <w:rPr>
          <w:rFonts w:hint="eastAsia" w:ascii="仿宋_GB2312" w:hAnsi="仿宋_GB2312" w:eastAsia="仿宋_GB2312" w:cs="仿宋_GB2312"/>
          <w:bCs/>
          <w:sz w:val="32"/>
          <w:szCs w:val="32"/>
          <w:highlight w:val="none"/>
        </w:rPr>
        <w:t>.若成交供应商的成书质量达不到技术要求，被认定为不合格产品，应无条件在采购人规定时间内重印并交付采购方，同时承担相应责任。</w:t>
      </w:r>
    </w:p>
    <w:p w14:paraId="68940F21">
      <w:pPr>
        <w:pageBreakBefore w:val="0"/>
        <w:widowControl w:val="0"/>
        <w:shd w:val="clear" w:color="auto" w:fill="FFFFFF"/>
        <w:tabs>
          <w:tab w:val="left" w:pos="720"/>
          <w:tab w:val="left" w:pos="900"/>
        </w:tabs>
        <w:kinsoku/>
        <w:wordWrap/>
        <w:overflowPunct/>
        <w:topLinePunct w:val="0"/>
        <w:autoSpaceDE/>
        <w:autoSpaceDN/>
        <w:bidi w:val="0"/>
        <w:snapToGrid w:val="0"/>
        <w:spacing w:line="360" w:lineRule="auto"/>
        <w:ind w:firstLine="640" w:firstLineChars="200"/>
        <w:textAlignment w:val="auto"/>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sz w:val="32"/>
          <w:szCs w:val="32"/>
          <w:highlight w:val="none"/>
          <w:shd w:val="clear" w:color="auto" w:fill="FFFFFF"/>
        </w:rPr>
        <w:t>★三</w:t>
      </w:r>
      <w:r>
        <w:rPr>
          <w:rFonts w:ascii="Times New Roman" w:hAnsi="Times New Roman" w:eastAsia="黑体" w:cs="Times New Roman"/>
          <w:sz w:val="32"/>
          <w:szCs w:val="32"/>
          <w:highlight w:val="none"/>
          <w:shd w:val="clear" w:color="auto" w:fill="FFFFFF"/>
        </w:rPr>
        <w:t>、商务要求</w:t>
      </w:r>
    </w:p>
    <w:p w14:paraId="7B8D8023">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1.</w:t>
      </w:r>
      <w:r>
        <w:rPr>
          <w:rFonts w:hint="eastAsia" w:ascii="仿宋_GB2312" w:hAnsi="仿宋_GB2312" w:eastAsia="仿宋_GB2312" w:cs="仿宋_GB2312"/>
          <w:color w:val="000000"/>
          <w:sz w:val="32"/>
          <w:szCs w:val="32"/>
          <w:highlight w:val="none"/>
          <w:shd w:val="clear" w:color="auto" w:fill="FFFFFF"/>
        </w:rPr>
        <w:t>报价：本项目预算</w:t>
      </w:r>
      <w:r>
        <w:rPr>
          <w:rFonts w:hint="eastAsia" w:ascii="仿宋_GB2312" w:hAnsi="仿宋_GB2312" w:eastAsia="仿宋_GB2312" w:cs="仿宋_GB2312"/>
          <w:color w:val="000000"/>
          <w:sz w:val="32"/>
          <w:szCs w:val="32"/>
          <w:highlight w:val="none"/>
          <w:shd w:val="clear" w:color="auto" w:fill="FFFFFF"/>
          <w:lang w:val="en-US" w:eastAsia="zh-CN"/>
        </w:rPr>
        <w:t>及最高限价6.89</w:t>
      </w:r>
      <w:r>
        <w:rPr>
          <w:rFonts w:hint="eastAsia" w:ascii="仿宋_GB2312" w:hAnsi="仿宋_GB2312" w:eastAsia="仿宋_GB2312" w:cs="仿宋_GB2312"/>
          <w:color w:val="000000"/>
          <w:sz w:val="32"/>
          <w:szCs w:val="32"/>
          <w:highlight w:val="none"/>
          <w:shd w:val="clear" w:color="auto" w:fill="FFFFFF"/>
        </w:rPr>
        <w:t>万元；报价超过采购预算</w:t>
      </w:r>
      <w:r>
        <w:rPr>
          <w:rFonts w:hint="eastAsia" w:ascii="仿宋_GB2312" w:hAnsi="仿宋_GB2312" w:eastAsia="仿宋_GB2312" w:cs="仿宋_GB2312"/>
          <w:color w:val="000000"/>
          <w:sz w:val="32"/>
          <w:szCs w:val="32"/>
          <w:highlight w:val="none"/>
          <w:shd w:val="clear" w:color="auto" w:fill="FFFFFF"/>
          <w:lang w:val="en-US" w:eastAsia="zh-CN"/>
        </w:rPr>
        <w:t>或最高限价</w:t>
      </w:r>
      <w:r>
        <w:rPr>
          <w:rFonts w:hint="eastAsia" w:ascii="仿宋_GB2312" w:hAnsi="仿宋_GB2312" w:eastAsia="仿宋_GB2312" w:cs="仿宋_GB2312"/>
          <w:color w:val="000000"/>
          <w:sz w:val="32"/>
          <w:szCs w:val="32"/>
          <w:highlight w:val="none"/>
          <w:shd w:val="clear" w:color="auto" w:fill="FFFFFF"/>
        </w:rPr>
        <w:t>，其比选申请文件按无效处理。</w:t>
      </w:r>
    </w:p>
    <w:p w14:paraId="291BB381">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val="en-US" w:eastAsia="zh-CN"/>
        </w:rPr>
        <w:t>2</w:t>
      </w:r>
      <w:r>
        <w:rPr>
          <w:rFonts w:hint="eastAsia" w:ascii="仿宋_GB2312" w:hAnsi="仿宋_GB2312" w:eastAsia="仿宋_GB2312" w:cs="仿宋_GB2312"/>
          <w:color w:val="000000"/>
          <w:sz w:val="32"/>
          <w:szCs w:val="32"/>
          <w:highlight w:val="none"/>
          <w:shd w:val="clear" w:color="auto" w:fill="FFFFFF"/>
        </w:rPr>
        <w:t>.付款方式：合同签订生效后3个工作日内，乙方向甲方提交与合同总金额等额的银行保函，保函期限应当覆盖整个服务期限。甲方收到银行保函和乙方出具的有效发票后10个工作日内将合同总金额100%转至乙方指定账户。</w:t>
      </w:r>
    </w:p>
    <w:p w14:paraId="479AB4CC">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color w:val="000000"/>
          <w:sz w:val="32"/>
          <w:szCs w:val="32"/>
          <w:highlight w:val="none"/>
          <w:shd w:val="clear" w:color="auto" w:fill="FFFFFF"/>
          <w:lang w:val="en-US" w:eastAsia="zh-CN"/>
        </w:rPr>
        <w:t>3</w:t>
      </w:r>
      <w:r>
        <w:rPr>
          <w:rFonts w:hint="eastAsia" w:ascii="仿宋_GB2312" w:hAnsi="仿宋_GB2312" w:eastAsia="仿宋_GB2312" w:cs="仿宋_GB2312"/>
          <w:color w:val="000000"/>
          <w:sz w:val="32"/>
          <w:szCs w:val="32"/>
          <w:highlight w:val="none"/>
          <w:shd w:val="clear" w:color="auto" w:fill="FFFFFF"/>
        </w:rPr>
        <w:t>.服务地点：成都市中西医结合医院南区。</w:t>
      </w:r>
    </w:p>
    <w:p w14:paraId="4D5C2530">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lang w:val="en-US" w:eastAsia="zh-CN"/>
        </w:rPr>
        <w:t>4</w:t>
      </w:r>
      <w:r>
        <w:rPr>
          <w:rFonts w:hint="eastAsia" w:ascii="仿宋_GB2312" w:hAnsi="仿宋_GB2312" w:eastAsia="仿宋_GB2312" w:cs="仿宋_GB2312"/>
          <w:sz w:val="32"/>
          <w:szCs w:val="32"/>
          <w:highlight w:val="none"/>
          <w:shd w:val="clear" w:color="auto" w:fill="FFFFFF"/>
        </w:rPr>
        <w:t>.验收要求：按照相关法律法规的要求进行履约验收。</w:t>
      </w:r>
    </w:p>
    <w:p w14:paraId="731889AB">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highlight w:val="none"/>
          <w:shd w:val="clear" w:color="auto" w:fill="FFFFFF"/>
        </w:rPr>
        <w:t>5.服务期限：合同签订生效之日至2026年12月完成全部项目内容并通过验收。</w:t>
      </w:r>
    </w:p>
    <w:p w14:paraId="7E344752">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highlight w:val="none"/>
          <w:shd w:val="clear" w:color="auto" w:fill="FFFFFF"/>
        </w:rPr>
      </w:pPr>
      <w:bookmarkStart w:id="1" w:name="_GoBack"/>
      <w:bookmarkEnd w:id="1"/>
    </w:p>
    <w:p w14:paraId="20A9B5B7">
      <w:pPr>
        <w:pageBreakBefore w:val="0"/>
        <w:widowControl w:val="0"/>
        <w:shd w:val="clear" w:color="auto" w:fill="FFFFFF"/>
        <w:tabs>
          <w:tab w:val="left" w:pos="720"/>
          <w:tab w:val="left" w:pos="900"/>
        </w:tabs>
        <w:kinsoku/>
        <w:wordWrap/>
        <w:overflowPunct/>
        <w:topLinePunct w:val="0"/>
        <w:autoSpaceDE/>
        <w:autoSpaceDN/>
        <w:bidi w:val="0"/>
        <w:adjustRightInd w:val="0"/>
        <w:snapToGrid w:val="0"/>
        <w:spacing w:line="360" w:lineRule="auto"/>
        <w:ind w:firstLine="643" w:firstLineChars="200"/>
        <w:jc w:val="left"/>
        <w:textAlignment w:val="auto"/>
        <w:rPr>
          <w:rFonts w:hint="eastAsia" w:ascii="Times New Roman" w:hAnsi="Times New Roman" w:eastAsia="仿宋_GB2312" w:cs="Times New Roman"/>
          <w:b/>
          <w:bCs/>
          <w:sz w:val="32"/>
          <w:szCs w:val="32"/>
          <w:highlight w:val="none"/>
          <w:shd w:val="clear" w:color="auto" w:fill="FFFFFF"/>
          <w:lang w:eastAsia="zh-CN"/>
        </w:rPr>
      </w:pPr>
      <w:r>
        <w:rPr>
          <w:rFonts w:hint="eastAsia" w:ascii="Times New Roman" w:hAnsi="Times New Roman" w:eastAsia="仿宋_GB2312" w:cs="Times New Roman"/>
          <w:b/>
          <w:bCs/>
          <w:sz w:val="32"/>
          <w:szCs w:val="32"/>
          <w:highlight w:val="none"/>
          <w:shd w:val="clear" w:color="auto" w:fill="FFFFFF"/>
          <w:lang w:eastAsia="zh-CN"/>
        </w:rPr>
        <w:t>注：1.本章明确为实质性要求（标注“★”号）的不允许有负偏离，否则做无效响应处理。除实质性要求，其余项目技术指标要求有负偏离仅做扣分处理。</w:t>
      </w:r>
    </w:p>
    <w:p w14:paraId="3F5CD12B">
      <w:pPr>
        <w:keepNext/>
        <w:keepLines/>
        <w:pageBreakBefore w:val="0"/>
        <w:widowControl w:val="0"/>
        <w:numPr>
          <w:ilvl w:val="0"/>
          <w:numId w:val="0"/>
        </w:numPr>
        <w:kinsoku/>
        <w:wordWrap/>
        <w:overflowPunct/>
        <w:topLinePunct w:val="0"/>
        <w:autoSpaceDE/>
        <w:autoSpaceDN/>
        <w:bidi w:val="0"/>
        <w:spacing w:before="340" w:beforeLines="0" w:beforeAutospacing="0" w:after="330" w:afterLines="0" w:afterAutospacing="0" w:line="360" w:lineRule="auto"/>
        <w:ind w:firstLine="643" w:firstLineChars="200"/>
        <w:jc w:val="left"/>
        <w:textAlignment w:val="auto"/>
        <w:outlineLvl w:val="0"/>
        <w:rPr>
          <w:rFonts w:hint="eastAsia" w:ascii="方正小标宋_GBK" w:hAnsi="方正小标宋_GBK" w:eastAsia="方正小标宋_GBK" w:cs="方正小标宋_GBK"/>
          <w:b w:val="0"/>
          <w:bCs/>
          <w:kern w:val="44"/>
          <w:sz w:val="44"/>
          <w:szCs w:val="36"/>
          <w:highlight w:val="none"/>
          <w:lang w:val="en-US" w:eastAsia="zh-CN" w:bidi="ar-SA"/>
        </w:rPr>
      </w:pPr>
      <w:r>
        <w:rPr>
          <w:rFonts w:hint="eastAsia" w:ascii="Times New Roman" w:hAnsi="Times New Roman" w:eastAsia="仿宋_GB2312" w:cs="Times New Roman"/>
          <w:b/>
          <w:bCs/>
          <w:sz w:val="32"/>
          <w:szCs w:val="32"/>
          <w:highlight w:val="none"/>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03F84538"/>
    <w:rsid w:val="45110459"/>
    <w:rsid w:val="78530FAA"/>
    <w:rsid w:val="7DA16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1589</Words>
  <Characters>1671</Characters>
  <Lines>0</Lines>
  <Paragraphs>0</Paragraphs>
  <TotalTime>0</TotalTime>
  <ScaleCrop>false</ScaleCrop>
  <LinksUpToDate>false</LinksUpToDate>
  <CharactersWithSpaces>1671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余雪彬</cp:lastModifiedBy>
  <dcterms:modified xsi:type="dcterms:W3CDTF">2025-10-31T03:32:49Z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4028AC1DA5DA4FB9B6A0A8EC7C1DC9EB_13</vt:lpwstr>
  </property>
  <property fmtid="{D5CDD505-2E9C-101B-9397-08002B2CF9AE}" pid="4" name="KSOTemplateDocerSaveRecord">
    <vt:lpwstr>eyJoZGlkIjoiMTQzOTgyN2VkM2ZmMDhiNmJkNjI4Mzk3NzliNWVkZjMiLCJ1c2VySWQiOiIxNjc4NTI4MzI5In0=</vt:lpwstr>
  </property>
</Properties>
</file>