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2F31A">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7606DA10">
      <w:pPr>
        <w:shd w:val="clear" w:color="auto" w:fill="FFFFFF"/>
        <w:tabs>
          <w:tab w:val="left" w:pos="720"/>
          <w:tab w:val="left" w:pos="900"/>
        </w:tabs>
        <w:adjustRightInd w:val="0"/>
        <w:snapToGrid w:val="0"/>
        <w:spacing w:line="560" w:lineRule="exact"/>
        <w:ind w:firstLine="880" w:firstLineChars="200"/>
        <w:jc w:val="center"/>
        <w:rPr>
          <w:rFonts w:hint="eastAsia"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采购需求</w:t>
      </w:r>
    </w:p>
    <w:p w14:paraId="46B1D6E3">
      <w:pPr>
        <w:shd w:val="clear" w:color="auto" w:fill="FFFFFF"/>
        <w:tabs>
          <w:tab w:val="left" w:pos="720"/>
          <w:tab w:val="left" w:pos="900"/>
        </w:tabs>
        <w:adjustRightInd w:val="0"/>
        <w:snapToGrid w:val="0"/>
        <w:spacing w:line="560" w:lineRule="exact"/>
        <w:ind w:firstLine="640" w:firstLineChars="200"/>
        <w:rPr>
          <w:rFonts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一、比选项目内容</w:t>
      </w:r>
    </w:p>
    <w:p w14:paraId="2AB7D359">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本项目共1个包件，采购《顾兴平学术经验集》出版服务项目，预算金额14.5万元。</w:t>
      </w:r>
    </w:p>
    <w:tbl>
      <w:tblPr>
        <w:tblStyle w:val="4"/>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4F2B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vAlign w:val="center"/>
          </w:tcPr>
          <w:p w14:paraId="0FD8D49A">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ascii="Times New Roman" w:hAnsi="Times New Roman" w:eastAsia="仿宋_GB2312" w:cs="Times New Roman"/>
                <w:b/>
                <w:sz w:val="28"/>
                <w:szCs w:val="28"/>
                <w:shd w:val="clear" w:color="auto" w:fill="FFFFFF"/>
              </w:rPr>
              <w:t>包件</w:t>
            </w:r>
          </w:p>
        </w:tc>
        <w:tc>
          <w:tcPr>
            <w:tcW w:w="3352" w:type="dxa"/>
            <w:vAlign w:val="center"/>
          </w:tcPr>
          <w:p w14:paraId="6B35295F">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标的</w:t>
            </w:r>
            <w:r>
              <w:rPr>
                <w:rFonts w:ascii="Times New Roman" w:hAnsi="Times New Roman" w:eastAsia="仿宋_GB2312" w:cs="Times New Roman"/>
                <w:b/>
                <w:sz w:val="28"/>
                <w:szCs w:val="28"/>
                <w:shd w:val="clear" w:color="auto" w:fill="FFFFFF"/>
              </w:rPr>
              <w:t>名称</w:t>
            </w:r>
          </w:p>
        </w:tc>
        <w:tc>
          <w:tcPr>
            <w:tcW w:w="1680" w:type="dxa"/>
            <w:vAlign w:val="center"/>
          </w:tcPr>
          <w:p w14:paraId="105EBB98">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ascii="Times New Roman" w:hAnsi="Times New Roman" w:eastAsia="仿宋_GB2312" w:cs="Times New Roman"/>
                <w:b/>
                <w:sz w:val="28"/>
                <w:szCs w:val="28"/>
                <w:shd w:val="clear" w:color="auto" w:fill="FFFFFF"/>
              </w:rPr>
              <w:t>数量</w:t>
            </w:r>
            <w:r>
              <w:rPr>
                <w:rFonts w:hint="eastAsia" w:ascii="Times New Roman" w:hAnsi="Times New Roman" w:eastAsia="仿宋_GB2312" w:cs="Times New Roman"/>
                <w:b/>
                <w:sz w:val="28"/>
                <w:szCs w:val="28"/>
                <w:shd w:val="clear" w:color="auto" w:fill="FFFFFF"/>
              </w:rPr>
              <w:t>（项）</w:t>
            </w:r>
          </w:p>
        </w:tc>
        <w:tc>
          <w:tcPr>
            <w:tcW w:w="2539" w:type="dxa"/>
            <w:vAlign w:val="center"/>
          </w:tcPr>
          <w:p w14:paraId="59D452BD">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预算金额</w:t>
            </w:r>
          </w:p>
          <w:p w14:paraId="0067D0DC">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（万元）</w:t>
            </w:r>
          </w:p>
        </w:tc>
      </w:tr>
      <w:tr w14:paraId="4F43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vAlign w:val="center"/>
          </w:tcPr>
          <w:p w14:paraId="5AC339E9">
            <w:pPr>
              <w:shd w:val="clear" w:color="auto" w:fill="FFFFFF"/>
              <w:tabs>
                <w:tab w:val="left" w:pos="720"/>
              </w:tabs>
              <w:snapToGrid w:val="0"/>
              <w:spacing w:line="400" w:lineRule="exact"/>
              <w:jc w:val="center"/>
              <w:rPr>
                <w:rFonts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1</w:t>
            </w:r>
          </w:p>
        </w:tc>
        <w:tc>
          <w:tcPr>
            <w:tcW w:w="3352" w:type="dxa"/>
            <w:vAlign w:val="center"/>
          </w:tcPr>
          <w:p w14:paraId="17E782EF">
            <w:pPr>
              <w:shd w:val="clear" w:color="auto" w:fill="FFFFFF"/>
              <w:tabs>
                <w:tab w:val="left" w:pos="720"/>
              </w:tabs>
              <w:snapToGrid w:val="0"/>
              <w:spacing w:line="400" w:lineRule="exact"/>
              <w:jc w:val="center"/>
              <w:rPr>
                <w:rFonts w:ascii="Times New Roman" w:hAnsi="Times New Roman" w:eastAsia="仿宋_GB2312" w:cs="Times New Roman"/>
                <w:sz w:val="28"/>
                <w:szCs w:val="28"/>
                <w:shd w:val="clear" w:color="auto" w:fill="FFFFFF"/>
              </w:rPr>
            </w:pPr>
            <w:r>
              <w:rPr>
                <w:rFonts w:hint="eastAsia" w:ascii="仿宋_GB2312" w:hAnsi="仿宋_GB2312" w:eastAsia="仿宋_GB2312" w:cs="仿宋_GB2312"/>
                <w:sz w:val="32"/>
                <w:szCs w:val="32"/>
                <w:shd w:val="clear" w:color="auto" w:fill="FFFFFF"/>
              </w:rPr>
              <w:t>《顾兴平学术经验集》出版服务</w:t>
            </w:r>
          </w:p>
        </w:tc>
        <w:tc>
          <w:tcPr>
            <w:tcW w:w="1680" w:type="dxa"/>
            <w:vAlign w:val="center"/>
          </w:tcPr>
          <w:p w14:paraId="0856C6C3">
            <w:pPr>
              <w:jc w:val="center"/>
              <w:rPr>
                <w:rFonts w:ascii="仿宋_GB2312" w:hAnsi="Times New Roman" w:eastAsia="仿宋_GB2312" w:cs="仿宋_GB2312"/>
                <w:sz w:val="36"/>
                <w:szCs w:val="36"/>
              </w:rPr>
            </w:pPr>
            <w:r>
              <w:rPr>
                <w:rFonts w:hint="eastAsia" w:ascii="仿宋_GB2312" w:hAnsi="Times New Roman" w:eastAsia="仿宋_GB2312" w:cs="仿宋_GB2312"/>
                <w:sz w:val="36"/>
                <w:szCs w:val="36"/>
              </w:rPr>
              <w:t>1</w:t>
            </w:r>
          </w:p>
        </w:tc>
        <w:tc>
          <w:tcPr>
            <w:tcW w:w="2539" w:type="dxa"/>
            <w:vAlign w:val="center"/>
          </w:tcPr>
          <w:p w14:paraId="554872C3">
            <w:pPr>
              <w:jc w:val="center"/>
              <w:rPr>
                <w:rFonts w:ascii="Times New Roman" w:hAnsi="Times New Roman" w:eastAsia="仿宋_GB2312" w:cs="Times New Roman"/>
                <w:sz w:val="28"/>
                <w:szCs w:val="28"/>
                <w:shd w:val="clear" w:color="auto" w:fill="FFFFFF"/>
              </w:rPr>
            </w:pPr>
            <w:r>
              <w:rPr>
                <w:rFonts w:hint="eastAsia" w:ascii="仿宋_GB2312" w:hAnsi="仿宋_GB2312" w:eastAsia="仿宋_GB2312" w:cs="仿宋_GB2312"/>
                <w:sz w:val="32"/>
                <w:szCs w:val="32"/>
                <w:shd w:val="clear" w:color="auto" w:fill="FFFFFF"/>
              </w:rPr>
              <w:t>14.5</w:t>
            </w:r>
          </w:p>
        </w:tc>
      </w:tr>
    </w:tbl>
    <w:p w14:paraId="766DFA5A">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二</w:t>
      </w:r>
      <w:r>
        <w:rPr>
          <w:rFonts w:ascii="Times New Roman" w:hAnsi="Times New Roman" w:eastAsia="黑体" w:cs="Times New Roman"/>
          <w:sz w:val="32"/>
          <w:szCs w:val="32"/>
          <w:shd w:val="clear" w:color="auto" w:fill="FFFFFF"/>
        </w:rPr>
        <w:t>、</w:t>
      </w:r>
      <w:r>
        <w:rPr>
          <w:rFonts w:hint="eastAsia" w:ascii="Times New Roman" w:hAnsi="Times New Roman" w:eastAsia="黑体" w:cs="Times New Roman"/>
          <w:sz w:val="32"/>
          <w:szCs w:val="32"/>
          <w:shd w:val="clear" w:color="auto" w:fill="FFFFFF"/>
        </w:rPr>
        <w:t>技术、服务</w:t>
      </w:r>
      <w:r>
        <w:rPr>
          <w:rFonts w:ascii="Times New Roman" w:hAnsi="Times New Roman" w:eastAsia="黑体" w:cs="Times New Roman"/>
          <w:sz w:val="32"/>
          <w:szCs w:val="32"/>
          <w:shd w:val="clear" w:color="auto" w:fill="FFFFFF"/>
        </w:rPr>
        <w:t>要求</w:t>
      </w:r>
    </w:p>
    <w:p w14:paraId="5F5296B4">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（一）整体目标</w:t>
      </w:r>
    </w:p>
    <w:p w14:paraId="3DC559F1">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《顾兴平学术经验集》的资料整理、编辑成稿、排版设计、编辑校对、定稿呈现及出版服务。</w:t>
      </w:r>
    </w:p>
    <w:p w14:paraId="61731D22">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（二）具体服务内容</w:t>
      </w:r>
    </w:p>
    <w:p w14:paraId="277FF3A0">
      <w:pPr>
        <w:spacing w:line="5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1.出版物书号申领</w:t>
      </w:r>
    </w:p>
    <w:p w14:paraId="2AA731C0">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1.1.供应商负责为出版物申请书号。</w:t>
      </w:r>
    </w:p>
    <w:p w14:paraId="0DBB28B0">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1.2.供应商确保书号申请流程合法合规，配合采购人完成出版备案手续。</w:t>
      </w:r>
    </w:p>
    <w:p w14:paraId="7BB9F87D">
      <w:pPr>
        <w:spacing w:line="5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2.书稿编辑加工</w:t>
      </w:r>
    </w:p>
    <w:p w14:paraId="0CC52A3B">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2.1.编撰人员要求：成立不少于5人的编撰团队，工作职责包含但不限于：资料审核录入、资料研究和内容编撰、内容核校等。编撰团队具有中医学类书籍编撰经验，团队成员具有中医领域文字纂写能力，确保内容准确、语言规范，符合中医药学术出版标准。</w:t>
      </w:r>
    </w:p>
    <w:p w14:paraId="24A80AD4">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2.2.稿件初审与加工：对原始稿件进行审读，提出修改建议（至少包括内容完善、逻辑调整、学术规范修正），完成稿件的文字润色、图片处理（至少包括图片编号、标注、清晰度优化）。</w:t>
      </w:r>
    </w:p>
    <w:p w14:paraId="7BC748D1">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2.3.版权处理：供应商协助采购人完成稿件中引用内容的版权授权，确保无知识产权纠纷。</w:t>
      </w:r>
    </w:p>
    <w:p w14:paraId="3F7265F7">
      <w:pPr>
        <w:spacing w:line="5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3.校对审读与质量把控</w:t>
      </w:r>
    </w:p>
    <w:p w14:paraId="7CBA2A6B">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3.1.执行至少三审三校制度：初审、复审、终审三级审稿，校对环节不少于三轮（初校、二校、三校），并进行通读质检，确保稿件差错率低于万分之一，符合《标点符号用法》(GB/T15834-2011)、《出版物上数字用法》(GB/T15835-2011)的相关要求。</w:t>
      </w:r>
    </w:p>
    <w:p w14:paraId="59D896A9">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3.2.重点审核内容：政治导向、学术严谨性、语言规范性，符合中医教学、临床应用场景要求。</w:t>
      </w:r>
    </w:p>
    <w:p w14:paraId="37C7D78D">
      <w:pPr>
        <w:spacing w:line="5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4.排版制版与设计服务</w:t>
      </w:r>
    </w:p>
    <w:p w14:paraId="2B249BA5">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4.1.版式设计：根据出版物类型设计封面及内文版式，体现成都市中西医结合医院形象（至少包括院徽、特色元素融入），提供样稿供采购人确认。</w:t>
      </w:r>
    </w:p>
    <w:p w14:paraId="6A4AB926">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4.2.文件制作：生成符合印刷标准的PDF文件，同时提供电子文档源文件（至少包括Word、InDesign格式），确保后续可编辑性。</w:t>
      </w:r>
    </w:p>
    <w:p w14:paraId="225E1DD4">
      <w:pPr>
        <w:spacing w:line="5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5.出版物、书籍数量及纸张工艺要求</w:t>
      </w:r>
    </w:p>
    <w:p w14:paraId="69038EFE">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5.1.字数：版面字数不少于10万字/册，Word字数不少于7万字/册。</w:t>
      </w:r>
    </w:p>
    <w:p w14:paraId="723BF242">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5.2.封面用纸：铜版纸，其重量≥230克/平方米，有勒口，覆哑膜；环衬用纸：无；正文用纸：100g双胶纸。</w:t>
      </w:r>
    </w:p>
    <w:p w14:paraId="321576C5">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5.3.数量：4000册。</w:t>
      </w:r>
    </w:p>
    <w:p w14:paraId="1FF274C9">
      <w:pPr>
        <w:spacing w:line="5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6.书籍、出版物质量要求</w:t>
      </w:r>
    </w:p>
    <w:p w14:paraId="1DBEB2A5">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6.1.文字清晰锐利，无重影、糊版或缺笔断划，字体大小符合采购人要求。</w:t>
      </w:r>
    </w:p>
    <w:p w14:paraId="7645CAD8">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6.2.图表、公式、插图等线条流畅，标注清晰，色彩鲜明且套印准确。</w:t>
      </w:r>
    </w:p>
    <w:p w14:paraId="280FCFBC">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6.3.页码、页眉页脚等辅助信息位置统一，无错页、漏页或页码颠倒。</w:t>
      </w:r>
    </w:p>
    <w:p w14:paraId="53E35546">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6.4.墨色均匀一致，无深浅不均或脏版现象，大面积底色需平整无条纹。</w:t>
      </w:r>
    </w:p>
    <w:p w14:paraId="391CC0FF">
      <w:pPr>
        <w:spacing w:line="5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7.运输与交付</w:t>
      </w:r>
    </w:p>
    <w:p w14:paraId="31C66713">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7.1.供应商负责将成品运输至采购人指定地点（成都市中西医结医院南区），运输过程中采取防潮、防震措施，确保出版物无破损、污损。</w:t>
      </w:r>
    </w:p>
    <w:p w14:paraId="58E88CC1">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7.2.供应商提供交付清单（至少包括书名、数量、规格），配合采购人完成数量清点及质量验收。</w:t>
      </w:r>
    </w:p>
    <w:p w14:paraId="24B6A21D">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（三）服务要求</w:t>
      </w:r>
    </w:p>
    <w:p w14:paraId="52B3F116">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1.响应文件内拟配备人员与项目实际服务人员须一致，未经采购人同意，不得随意更换项目组成员。项目执行过程中，项目组成员难以胜任的，采购人有权要求供应商更换项目组成员。</w:t>
      </w:r>
    </w:p>
    <w:p w14:paraId="7DD5D0BD">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保密要求：供应商因履行本合同所获得的一切原始资料、信息及相关工作成果属采购人所有，供应商负有保密义务。供应商要确保编纂全过程安全保密，并签订保密协议，不得私自留存保密资料。未经采购方书面同意，供应商不得在合同期内或合同履行完毕后以任何方式对外泄露或用于与本项目无关的其他任何事项。如因供应商过错导致采购方遭受损失的，供应商应承担全部赔偿责任。采购人提供的所有技术资料和基础资料（文字、图纸、电子数据等）均受版权保护，未经采购方授权，任何人不得将其内容复制、引用、改编、分发、发布、外借、转让。</w:t>
      </w:r>
    </w:p>
    <w:p w14:paraId="51FF9C5F">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安全责任：在履行合同过程中，由供应商自行负责和承担相关安全责任。供应商应按有关规定采取严格的项目实施安全措施，承担由于自身安全措施不力造成的事故责任和因此发生的费用及后果，供应商投入本项目工作人员的人身安全由供应商负责。供应商应为本项目工作人员购买人身意外伤害险及与项目实施有关的一切保险。凡在项目实施过程中发生安全事故或其他责任事故，均由供应商承担。</w:t>
      </w:r>
    </w:p>
    <w:p w14:paraId="68853402">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4.出版物在正常印刷情况下发生质量问题时，供应商承诺严格按照采购人的要求，在规定时间内无条件进行补印或重印。</w:t>
      </w:r>
    </w:p>
    <w:p w14:paraId="02618DEB">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5.若成交供应商的成书质量达不到技术要求，被认定为不合格产品，应无条件在采购人规定时间内重印并交付采购方，同时承担相应责任。</w:t>
      </w:r>
    </w:p>
    <w:p w14:paraId="573251EF">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报价要求：报价是履行合同的最终价格，应符合预算且分项清晰，包括完成本项目所涉及的编纂费、评审费、审查验收费、设计费、书号申请费、包装费、出版费和宣传推广费等及采购文件要求的其他完成本项目服务所需的一切费用，采购人不再另行支付任何费用；报价估算错误等引起的风险由供应商自行承担。</w:t>
      </w:r>
    </w:p>
    <w:p w14:paraId="56890C66">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★三</w:t>
      </w:r>
      <w:r>
        <w:rPr>
          <w:rFonts w:ascii="Times New Roman" w:hAnsi="Times New Roman" w:eastAsia="黑体" w:cs="Times New Roman"/>
          <w:sz w:val="32"/>
          <w:szCs w:val="32"/>
          <w:shd w:val="clear" w:color="auto" w:fill="FFFFFF"/>
        </w:rPr>
        <w:t>、商务要求</w:t>
      </w:r>
    </w:p>
    <w:p w14:paraId="7F51204F">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shd w:val="clear" w:color="auto" w:fill="FFFFFF"/>
        </w:rPr>
        <w:t>1.服务期限：</w:t>
      </w:r>
      <w:r>
        <w:rPr>
          <w:rFonts w:hint="eastAsia" w:ascii="仿宋_GB2312" w:hAnsi="仿宋_GB2312" w:eastAsia="仿宋_GB2312" w:cs="仿宋_GB2312"/>
          <w:color w:val="000000"/>
          <w:sz w:val="32"/>
          <w:szCs w:val="32"/>
          <w:shd w:val="clear" w:color="auto" w:fill="FFFFFF"/>
        </w:rPr>
        <w:t>自合同签订生效之日起30日内完成。</w:t>
      </w:r>
    </w:p>
    <w:p w14:paraId="4ECD029B">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2.报价：本项目预算及最高限价14.5万元；报价超过采购预算或最高限价，其比选申请文件按无效处理。</w:t>
      </w:r>
    </w:p>
    <w:p w14:paraId="7AD2A603">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3.付款方式：合同签订生效后</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个工作日内乙方向甲方提交</w:t>
      </w:r>
      <w:r>
        <w:rPr>
          <w:rFonts w:hint="default" w:ascii="仿宋_GB2312" w:hAnsi="Times New Roman" w:eastAsia="仿宋_GB2312" w:cs="仿宋_GB2312"/>
          <w:color w:val="auto"/>
          <w:sz w:val="32"/>
          <w:szCs w:val="32"/>
          <w:lang w:val="en-US" w:eastAsia="zh-CN"/>
        </w:rPr>
        <w:t>合法有效</w:t>
      </w:r>
      <w:r>
        <w:rPr>
          <w:rFonts w:hint="eastAsia" w:ascii="仿宋_GB2312" w:hAnsi="Times New Roman" w:eastAsia="仿宋_GB2312" w:cs="仿宋_GB2312"/>
          <w:color w:val="auto"/>
          <w:sz w:val="32"/>
          <w:szCs w:val="32"/>
          <w:lang w:val="en-US" w:eastAsia="zh-CN"/>
        </w:rPr>
        <w:t>完整</w:t>
      </w:r>
      <w:r>
        <w:rPr>
          <w:rFonts w:hint="default" w:ascii="仿宋_GB2312" w:hAnsi="Times New Roman" w:eastAsia="仿宋_GB2312" w:cs="仿宋_GB2312"/>
          <w:color w:val="auto"/>
          <w:sz w:val="32"/>
          <w:szCs w:val="32"/>
          <w:lang w:val="en-US" w:eastAsia="zh-CN"/>
        </w:rPr>
        <w:t>的完税发票及相关凭证资料</w:t>
      </w:r>
      <w:r>
        <w:rPr>
          <w:rFonts w:hint="eastAsia" w:ascii="仿宋_GB2312" w:hAnsi="Times New Roman" w:eastAsia="仿宋_GB2312" w:cs="仿宋_GB2312"/>
          <w:color w:val="auto"/>
          <w:sz w:val="32"/>
          <w:szCs w:val="32"/>
          <w:lang w:val="en-US" w:eastAsia="zh-CN"/>
        </w:rPr>
        <w:t>，</w:t>
      </w:r>
      <w:r>
        <w:rPr>
          <w:rFonts w:hint="eastAsia" w:ascii="仿宋_GB2312" w:hAnsi="仿宋_GB2312" w:eastAsia="仿宋_GB2312" w:cs="仿宋_GB2312"/>
          <w:color w:val="000000"/>
          <w:sz w:val="32"/>
          <w:szCs w:val="32"/>
          <w:shd w:val="clear" w:color="auto" w:fill="FFFFFF"/>
          <w:lang w:val="en-US" w:eastAsia="zh-CN"/>
        </w:rPr>
        <w:t>甲方</w:t>
      </w:r>
      <w:r>
        <w:rPr>
          <w:rFonts w:hint="eastAsia" w:ascii="仿宋_GB2312" w:hAnsi="仿宋_GB2312" w:eastAsia="仿宋_GB2312" w:cs="仿宋_GB2312"/>
          <w:color w:val="000000"/>
          <w:sz w:val="32"/>
          <w:szCs w:val="32"/>
          <w:shd w:val="clear" w:color="auto" w:fill="FFFFFF"/>
        </w:rPr>
        <w:t>10个工作日内将合同总金额100%转至乙方指定账户。</w:t>
      </w:r>
    </w:p>
    <w:p w14:paraId="6A34786E">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4.服务地点：成都市中西医结合医院南区。</w:t>
      </w:r>
    </w:p>
    <w:p w14:paraId="52621152">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rPr>
        <w:t>验收、交付标准和方法</w:t>
      </w:r>
    </w:p>
    <w:p w14:paraId="7F182646">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5.1.验收组织方式：自行验收；</w:t>
      </w:r>
    </w:p>
    <w:p w14:paraId="21A4D397">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5.2.是否邀请本项目的其他供应商：否；</w:t>
      </w:r>
    </w:p>
    <w:p w14:paraId="5CC23C50">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5.3.是否邀请专家：否；</w:t>
      </w:r>
    </w:p>
    <w:p w14:paraId="393694E3">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5.4.是否邀请服务对象：否；</w:t>
      </w:r>
    </w:p>
    <w:p w14:paraId="340E4FB2">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5.5.是否邀请第三方检测机构：否；</w:t>
      </w:r>
    </w:p>
    <w:p w14:paraId="640033A0">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5.6.约验收程序：一次性验收；</w:t>
      </w:r>
    </w:p>
    <w:p w14:paraId="3E2751E9">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5.7.履约验收时间：达到验收条件起10日内，验收合同总金额的100%；</w:t>
      </w:r>
    </w:p>
    <w:p w14:paraId="00A86E1F">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5.8.验收组织的其他事项：无；</w:t>
      </w:r>
    </w:p>
    <w:p w14:paraId="309BBB9D">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5.9.技术履约验收内容：按照本项目采购文件中“技术、服务要求”及成交人响应文件进行验收；</w:t>
      </w:r>
    </w:p>
    <w:p w14:paraId="51D9B23D">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5.10.商务履约验收内容：按照本项目采购文件中“商务要求”及成交人响应文件进行验收；</w:t>
      </w:r>
    </w:p>
    <w:p w14:paraId="484FEE3B">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5.11.履约验收其他事项：无。</w:t>
      </w:r>
    </w:p>
    <w:p w14:paraId="4178B29D">
      <w:pPr>
        <w:shd w:val="clear" w:color="auto" w:fill="FFFFFF"/>
        <w:tabs>
          <w:tab w:val="left" w:pos="720"/>
          <w:tab w:val="left" w:pos="900"/>
        </w:tabs>
        <w:adjustRightInd w:val="0"/>
        <w:snapToGrid w:val="0"/>
        <w:spacing w:line="560" w:lineRule="exact"/>
        <w:ind w:firstLine="643" w:firstLineChars="200"/>
        <w:rPr>
          <w:rFonts w:ascii="Times New Roman" w:hAnsi="Times New Roman" w:eastAsia="仿宋_GB2312" w:cs="Times New Roman"/>
          <w:b/>
          <w:bCs/>
          <w:sz w:val="32"/>
          <w:szCs w:val="32"/>
          <w:highlight w:val="yellow"/>
          <w:shd w:val="clear" w:color="auto" w:fill="FFFFFF"/>
        </w:rPr>
      </w:pPr>
      <w:r>
        <w:rPr>
          <w:rFonts w:hint="eastAsia" w:ascii="Times New Roman" w:hAnsi="Times New Roman" w:eastAsia="仿宋_GB2312" w:cs="Times New Roman"/>
          <w:b/>
          <w:bCs/>
          <w:sz w:val="32"/>
          <w:szCs w:val="32"/>
          <w:shd w:val="clear" w:color="auto" w:fill="FFFFFF"/>
        </w:rPr>
        <w:t>注：1.</w:t>
      </w:r>
      <w:r>
        <w:rPr>
          <w:rFonts w:hint="eastAsia" w:ascii="Times New Roman" w:hAnsi="Times New Roman" w:eastAsia="仿宋_GB2312" w:cs="Times New Roman"/>
          <w:b/>
          <w:bCs/>
          <w:sz w:val="32"/>
          <w:szCs w:val="32"/>
          <w:shd w:val="clear" w:color="auto" w:fill="FFFFFF"/>
          <w:lang w:val="en-US" w:eastAsia="zh-CN"/>
        </w:rPr>
        <w:t>以上内容</w:t>
      </w:r>
      <w:r>
        <w:rPr>
          <w:rFonts w:hint="eastAsia" w:ascii="Times New Roman" w:hAnsi="Times New Roman" w:eastAsia="仿宋_GB2312" w:cs="Times New Roman"/>
          <w:b/>
          <w:bCs/>
          <w:sz w:val="32"/>
          <w:szCs w:val="32"/>
          <w:shd w:val="clear" w:color="auto" w:fill="FFFFFF"/>
        </w:rPr>
        <w:t>明确为实质性要求（标注“★”号）的不允许有负偏离，否则做无效响应处理。除实质性要求，其余项目技术指标要求有负偏离仅做扣分处理。</w:t>
      </w:r>
    </w:p>
    <w:p w14:paraId="6762C1DA">
      <w:pPr>
        <w:shd w:val="clear" w:color="auto" w:fill="FFFFFF"/>
        <w:tabs>
          <w:tab w:val="left" w:pos="720"/>
          <w:tab w:val="left" w:pos="900"/>
        </w:tabs>
        <w:adjustRightInd w:val="0"/>
        <w:snapToGrid w:val="0"/>
        <w:spacing w:line="560" w:lineRule="exact"/>
        <w:ind w:firstLine="643" w:firstLineChars="200"/>
        <w:rPr>
          <w:rFonts w:hint="eastAsia" w:ascii="方正小标宋_GBK" w:hAnsi="方正小标宋_GBK" w:eastAsia="方正小标宋_GBK" w:cs="方正小标宋_GBK"/>
          <w:b w:val="0"/>
          <w:bCs/>
          <w:kern w:val="44"/>
          <w:sz w:val="44"/>
          <w:szCs w:val="36"/>
          <w:highlight w:val="none"/>
          <w:lang w:val="en-US" w:eastAsia="zh-CN" w:bidi="ar-SA"/>
        </w:rPr>
      </w:pPr>
      <w:r>
        <w:rPr>
          <w:rFonts w:hint="eastAsia" w:ascii="Times New Roman" w:hAnsi="Times New Roman" w:eastAsia="仿宋_GB2312" w:cs="Times New Roman"/>
          <w:b/>
          <w:bCs/>
          <w:sz w:val="32"/>
          <w:szCs w:val="32"/>
          <w:shd w:val="clear" w:color="auto" w:fill="FFFFFF"/>
        </w:rPr>
        <w:t>2.除</w:t>
      </w:r>
      <w:r>
        <w:rPr>
          <w:rFonts w:hint="eastAsia" w:ascii="Times New Roman" w:hAnsi="Times New Roman" w:eastAsia="仿宋_GB2312" w:cs="Times New Roman"/>
          <w:b/>
          <w:bCs/>
          <w:sz w:val="32"/>
          <w:szCs w:val="32"/>
          <w:shd w:val="clear" w:color="auto" w:fill="FFFFFF"/>
          <w:lang w:val="en-US" w:eastAsia="zh-CN"/>
        </w:rPr>
        <w:t>以上内容</w:t>
      </w:r>
      <w:r>
        <w:rPr>
          <w:rFonts w:hint="eastAsia" w:ascii="Times New Roman" w:hAnsi="Times New Roman" w:eastAsia="仿宋_GB2312" w:cs="Times New Roman"/>
          <w:b/>
          <w:bCs/>
          <w:sz w:val="32"/>
          <w:szCs w:val="32"/>
          <w:shd w:val="clear" w:color="auto" w:fill="FFFFFF"/>
        </w:rPr>
        <w:t>中明确要求需要单独提供证明材料外的，供应商在响应文件中针对实质性要求仅在偏离表中进行明确响应即可，评审委员会在评审时，仅对响应文件是否违背实质性要求进行审查。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075A5E36"/>
    <w:rsid w:val="45110459"/>
    <w:rsid w:val="7853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916</Words>
  <Characters>930</Characters>
  <Lines>0</Lines>
  <Paragraphs>0</Paragraphs>
  <TotalTime>0</TotalTime>
  <ScaleCrop>false</ScaleCrop>
  <LinksUpToDate>false</LinksUpToDate>
  <CharactersWithSpaces>931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国招邓诗依</cp:lastModifiedBy>
  <dcterms:modified xsi:type="dcterms:W3CDTF">2025-10-31T08:30:27Z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4028AC1DA5DA4FB9B6A0A8EC7C1DC9EB_13</vt:lpwstr>
  </property>
  <property fmtid="{D5CDD505-2E9C-101B-9397-08002B2CF9AE}" pid="4" name="KSOTemplateDocerSaveRecord">
    <vt:lpwstr>eyJoZGlkIjoiMWRhMTBhYzU5NmFlY2Q4MDk0YWVmZTU1YWVjYmNmZTkiLCJ1c2VySWQiOiI0Mzg0NTQzMTEifQ==</vt:lpwstr>
  </property>
</Properties>
</file>