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948FD">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06BD5A6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1D1717FC">
      <w:pPr>
        <w:pStyle w:val="2"/>
        <w:numPr>
          <w:ilvl w:val="0"/>
          <w:numId w:val="0"/>
        </w:numPr>
        <w:bidi w:val="0"/>
        <w:jc w:val="both"/>
        <w:rPr>
          <w:rFonts w:hint="eastAsia" w:ascii="Times New Roman" w:eastAsia="黑体" w:cs="Times New Roman"/>
          <w:sz w:val="32"/>
          <w:szCs w:val="32"/>
          <w:shd w:val="clear" w:color="auto" w:fill="FFFFFF"/>
          <w:lang w:val="en-US" w:eastAsia="zh-CN"/>
        </w:rPr>
      </w:pPr>
      <w:r>
        <w:rPr>
          <w:rFonts w:ascii="Times New Roman" w:eastAsia="黑体" w:cs="Times New Roman"/>
          <w:sz w:val="32"/>
          <w:szCs w:val="32"/>
          <w:shd w:val="clear" w:color="auto" w:fill="FFFFFF"/>
        </w:rPr>
        <w:t>一、比选项目</w:t>
      </w:r>
      <w:r>
        <w:rPr>
          <w:rFonts w:hint="eastAsia" w:ascii="Times New Roman" w:eastAsia="黑体" w:cs="Times New Roman"/>
          <w:sz w:val="32"/>
          <w:szCs w:val="32"/>
          <w:shd w:val="clear" w:color="auto" w:fill="FFFFFF"/>
          <w:lang w:val="en-US" w:eastAsia="zh-CN"/>
        </w:rPr>
        <w:t>内容</w:t>
      </w:r>
    </w:p>
    <w:p w14:paraId="1B539816">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default" w:ascii="Times New Roman" w:hAnsi="Times New Roman" w:cs="Times New Roman"/>
          <w:sz w:val="32"/>
          <w:szCs w:val="32"/>
          <w:shd w:val="clear" w:color="auto" w:fill="FFFFFF"/>
        </w:rPr>
        <w:t>本次采购</w:t>
      </w:r>
      <w:r>
        <w:rPr>
          <w:rFonts w:hint="default" w:ascii="Times New Roman" w:hAnsi="Times New Roman" w:cs="Times New Roman"/>
          <w:sz w:val="32"/>
          <w:szCs w:val="32"/>
          <w:u w:val="none"/>
          <w:shd w:val="clear" w:color="auto" w:fill="FFFFFF"/>
        </w:rPr>
        <w:t>共1个项目</w:t>
      </w:r>
      <w:r>
        <w:rPr>
          <w:rFonts w:hint="eastAsia" w:ascii="仿宋_GB2312" w:hAnsi="仿宋_GB2312" w:eastAsia="仿宋_GB2312" w:cs="仿宋_GB2312"/>
          <w:sz w:val="32"/>
          <w:szCs w:val="32"/>
          <w:shd w:val="clear" w:color="auto" w:fill="FFFFFF"/>
          <w:lang w:val="en-US" w:eastAsia="zh-CN"/>
        </w:rPr>
        <w:t>，采购</w:t>
      </w:r>
      <w:r>
        <w:rPr>
          <w:rFonts w:hint="eastAsia" w:ascii="Times New Roman" w:cs="Times New Roman"/>
          <w:sz w:val="32"/>
          <w:szCs w:val="32"/>
          <w:shd w:val="clear" w:color="auto" w:fill="FFFFFF"/>
          <w:lang w:eastAsia="zh-CN"/>
        </w:rPr>
        <w:t>《当归补血汤调控枯否细胞糖酵解介导肝细胞组蛋白乳酸化促肝硬化残肝再生的作用机制》课题科研检测服务</w:t>
      </w:r>
      <w:r>
        <w:rPr>
          <w:rFonts w:hint="eastAsia" w:ascii="仿宋_GB2312" w:hAnsi="仿宋_GB2312" w:eastAsia="仿宋_GB2312" w:cs="仿宋_GB2312"/>
          <w:sz w:val="32"/>
          <w:szCs w:val="32"/>
          <w:shd w:val="clear" w:color="auto" w:fill="FFFFFF"/>
          <w:lang w:val="en-US" w:eastAsia="zh-CN"/>
        </w:rPr>
        <w:t>，预算金</w:t>
      </w:r>
      <w:r>
        <w:rPr>
          <w:rFonts w:hint="eastAsia" w:ascii="仿宋_GB2312" w:hAnsi="仿宋_GB2312" w:eastAsia="仿宋_GB2312" w:cs="仿宋_GB2312"/>
          <w:sz w:val="32"/>
          <w:szCs w:val="32"/>
          <w:u w:val="none"/>
          <w:shd w:val="clear" w:color="auto" w:fill="FFFFFF"/>
          <w:lang w:val="en-US" w:eastAsia="zh-CN"/>
        </w:rPr>
        <w:t>额</w:t>
      </w:r>
      <w:r>
        <w:rPr>
          <w:rFonts w:hint="eastAsia" w:hAnsi="仿宋_GB2312" w:cs="仿宋_GB2312"/>
          <w:sz w:val="32"/>
          <w:szCs w:val="32"/>
          <w:u w:val="none"/>
          <w:shd w:val="clear" w:color="auto" w:fill="FFFFFF"/>
          <w:lang w:val="en-US" w:eastAsia="zh-CN"/>
        </w:rPr>
        <w:t>10</w:t>
      </w:r>
      <w:r>
        <w:rPr>
          <w:rFonts w:hint="eastAsia" w:ascii="仿宋_GB2312" w:hAnsi="仿宋_GB2312" w:eastAsia="仿宋_GB2312" w:cs="仿宋_GB2312"/>
          <w:sz w:val="32"/>
          <w:szCs w:val="32"/>
          <w:u w:val="none"/>
          <w:shd w:val="clear" w:color="auto" w:fill="FFFFFF"/>
          <w:lang w:val="en-US" w:eastAsia="zh-CN"/>
        </w:rPr>
        <w:t>万元</w:t>
      </w:r>
      <w:r>
        <w:rPr>
          <w:rFonts w:hint="eastAsia" w:ascii="仿宋_GB2312" w:hAnsi="仿宋_GB2312" w:eastAsia="仿宋_GB2312" w:cs="仿宋_GB2312"/>
          <w:sz w:val="32"/>
          <w:szCs w:val="32"/>
          <w:shd w:val="clear" w:color="auto" w:fill="FFFFFF"/>
          <w:lang w:val="en-US" w:eastAsia="zh-CN"/>
        </w:rPr>
        <w:t>。</w:t>
      </w:r>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124F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2F48DD6A">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4A400EB1">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36937A53">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项</w:t>
            </w:r>
            <w:r>
              <w:rPr>
                <w:rFonts w:hint="eastAsia" w:ascii="Times New Roman" w:cs="Times New Roman"/>
                <w:b/>
                <w:sz w:val="28"/>
                <w:szCs w:val="28"/>
                <w:shd w:val="clear" w:color="auto" w:fill="FFFFFF"/>
              </w:rPr>
              <w:t>）</w:t>
            </w:r>
          </w:p>
        </w:tc>
        <w:tc>
          <w:tcPr>
            <w:tcW w:w="2539" w:type="dxa"/>
            <w:noWrap w:val="0"/>
            <w:vAlign w:val="center"/>
          </w:tcPr>
          <w:p w14:paraId="655504EA">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5E15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541C141A">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6624672C">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《当归补血汤调控枯否细胞糖酵解介导肝细胞组蛋白乳酸化促肝硬化残肝再生的作用机制》课题科研检测服务</w:t>
            </w:r>
          </w:p>
        </w:tc>
        <w:tc>
          <w:tcPr>
            <w:tcW w:w="1680" w:type="dxa"/>
            <w:noWrap w:val="0"/>
            <w:vAlign w:val="center"/>
          </w:tcPr>
          <w:p w14:paraId="543E6B4B">
            <w:pPr>
              <w:jc w:val="center"/>
              <w:rPr>
                <w:rFonts w:hint="default" w:eastAsia="仿宋_GB2312"/>
                <w:lang w:val="en-US" w:eastAsia="zh-CN"/>
              </w:rPr>
            </w:pPr>
            <w:r>
              <w:rPr>
                <w:rFonts w:hint="eastAsia" w:ascii="Times New Roman" w:hAnsi="Times New Roman" w:cs="Times New Roman"/>
                <w:sz w:val="28"/>
                <w:szCs w:val="28"/>
                <w:shd w:val="clear" w:color="auto" w:fill="FFFFFF"/>
                <w:lang w:val="en-US" w:eastAsia="zh-CN"/>
              </w:rPr>
              <w:t>1</w:t>
            </w:r>
          </w:p>
        </w:tc>
        <w:tc>
          <w:tcPr>
            <w:tcW w:w="2539" w:type="dxa"/>
            <w:noWrap w:val="0"/>
            <w:vAlign w:val="center"/>
          </w:tcPr>
          <w:p w14:paraId="617D0ACE">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10</w:t>
            </w:r>
          </w:p>
        </w:tc>
      </w:tr>
    </w:tbl>
    <w:p w14:paraId="084C228C">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、技术要求</w:t>
      </w:r>
    </w:p>
    <w:p w14:paraId="3EDB325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val="en-US" w:eastAsia="zh-CN"/>
        </w:rPr>
        <w:t>为系统阐明当归补血汤干预肝纤维化的物质基础与作用机制，可按以下思路开展研究：首先依托TCMSP数据库，筛选当归补血汤中符合口服生物利用度（OB）、类药性（DL）等药代动力学参数的单体分子，明确黄芪、当归中的潜在活性基础物质并形成初始物质清单；随后利用BioTransformer 3.0工具，模拟人体肝脏代谢、肠道菌群代谢等途径，预测筛选出的单体分子可能产生的氧化、还原、水解等反应代谢产物，以此完善活性物质研究范围；接着通过SwissTargetPrediction在线服务，结合DisGeNET、OMIM等疾病数据库，预测单体分子及代谢产物的潜在靶点并筛选出与肝纤维化相关的靶点，建立“物质-靶点”初步关联。同时，将分阶段症状数据与前期构建的当归补血汤“补气活血”功效症状图谱进行匹配，通过“症状-功效关联度评分”筛选高匹配度症状，为成分筛选提供症状导向依据；并从GEO、ArrayExpress等数据库获取肝纤维化单细胞转录组数据，经Seurat软件聚类、DESeq2差异分析后，梳理不同分期肝内肝星状细胞、肝细胞等关键细胞的基因表达差异，为“细胞-分子”关联分析奠定基础。在此基础上，整合物质-靶点、分阶段症状、单细胞转录组数据，构建“药物—症状—细胞—分子”多维关联图谱，清晰呈现各要素间的作用关系，最终以症状图谱的Z值（标准化得分）为核心导向，结合成分在当归补血汤中的实际含量（HPLC检测结果），筛选出与肝纤维化关键症状关联最强的核心活性成分群（HF-CAI），并构建肝纤维化类器官用于单体药物的药效验证工作。</w:t>
      </w:r>
    </w:p>
    <w:p w14:paraId="2E3DCF88">
      <w:pPr>
        <w:pStyle w:val="4"/>
        <w:rPr>
          <w:rFonts w:hint="eastAsia"/>
          <w:lang w:val="en-US" w:eastAsia="zh-CN"/>
        </w:rPr>
      </w:pPr>
    </w:p>
    <w:p w14:paraId="48101E2D">
      <w:pPr>
        <w:pStyle w:val="4"/>
        <w:ind w:firstLine="640" w:firstLineChars="200"/>
        <w:rPr>
          <w:rFonts w:hint="default"/>
          <w:lang w:val="en-US" w:eastAsia="zh-CN"/>
        </w:rPr>
      </w:pPr>
      <w:r>
        <w:rPr>
          <w:rFonts w:hint="eastAsia" w:ascii="仿宋_GB2312" w:hAnsi="仿宋_GB2312" w:eastAsia="仿宋_GB2312" w:cs="仿宋_GB2312"/>
          <w:sz w:val="32"/>
          <w:szCs w:val="32"/>
          <w:shd w:val="clear" w:color="auto" w:fill="FFFFFF"/>
          <w:lang w:val="en-US" w:eastAsia="zh-CN"/>
        </w:rPr>
        <w:t>2.项目清单</w:t>
      </w:r>
    </w:p>
    <w:tbl>
      <w:tblPr>
        <w:tblStyle w:val="7"/>
        <w:tblW w:w="8032" w:type="dxa"/>
        <w:jc w:val="center"/>
        <w:tblLayout w:type="autofit"/>
        <w:tblCellMar>
          <w:top w:w="0" w:type="dxa"/>
          <w:left w:w="108" w:type="dxa"/>
          <w:bottom w:w="0" w:type="dxa"/>
          <w:right w:w="108" w:type="dxa"/>
        </w:tblCellMar>
      </w:tblPr>
      <w:tblGrid>
        <w:gridCol w:w="1746"/>
        <w:gridCol w:w="3137"/>
        <w:gridCol w:w="1120"/>
        <w:gridCol w:w="981"/>
        <w:gridCol w:w="1538"/>
      </w:tblGrid>
      <w:tr w14:paraId="580C5A2F">
        <w:tblPrEx>
          <w:tblCellMar>
            <w:top w:w="0" w:type="dxa"/>
            <w:left w:w="108" w:type="dxa"/>
            <w:bottom w:w="0" w:type="dxa"/>
            <w:right w:w="108" w:type="dxa"/>
          </w:tblCellMar>
        </w:tblPrEx>
        <w:trPr>
          <w:trHeight w:val="284" w:hRule="atLeast"/>
          <w:jc w:val="center"/>
        </w:trPr>
        <w:tc>
          <w:tcPr>
            <w:tcW w:w="1734" w:type="dxa"/>
            <w:tcBorders>
              <w:top w:val="single" w:color="auto" w:sz="4" w:space="0"/>
              <w:left w:val="single" w:color="auto" w:sz="4" w:space="0"/>
              <w:bottom w:val="single" w:color="auto" w:sz="4" w:space="0"/>
              <w:right w:val="single" w:color="auto" w:sz="4" w:space="0"/>
            </w:tcBorders>
            <w:noWrap w:val="0"/>
            <w:vAlign w:val="center"/>
          </w:tcPr>
          <w:p w14:paraId="40A15BFC">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项目名称</w:t>
            </w:r>
          </w:p>
        </w:tc>
        <w:tc>
          <w:tcPr>
            <w:tcW w:w="3208" w:type="dxa"/>
            <w:tcBorders>
              <w:top w:val="single" w:color="auto" w:sz="4" w:space="0"/>
              <w:left w:val="nil"/>
              <w:bottom w:val="single" w:color="auto" w:sz="4" w:space="0"/>
              <w:right w:val="single" w:color="auto" w:sz="4" w:space="0"/>
            </w:tcBorders>
            <w:noWrap w:val="0"/>
            <w:vAlign w:val="center"/>
          </w:tcPr>
          <w:p w14:paraId="4919E2D9">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类型</w:t>
            </w:r>
          </w:p>
        </w:tc>
        <w:tc>
          <w:tcPr>
            <w:tcW w:w="1105" w:type="dxa"/>
            <w:tcBorders>
              <w:top w:val="single" w:color="auto" w:sz="4" w:space="0"/>
              <w:left w:val="nil"/>
              <w:bottom w:val="single" w:color="auto" w:sz="4" w:space="0"/>
              <w:right w:val="single" w:color="auto" w:sz="4" w:space="0"/>
            </w:tcBorders>
            <w:noWrap w:val="0"/>
            <w:vAlign w:val="center"/>
          </w:tcPr>
          <w:p w14:paraId="6FA1AD89">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2D5238">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数量</w:t>
            </w:r>
          </w:p>
        </w:tc>
        <w:tc>
          <w:tcPr>
            <w:tcW w:w="992" w:type="dxa"/>
            <w:tcBorders>
              <w:top w:val="single" w:color="auto" w:sz="4" w:space="0"/>
              <w:left w:val="nil"/>
              <w:bottom w:val="single" w:color="auto" w:sz="4" w:space="0"/>
              <w:right w:val="single" w:color="auto" w:sz="4" w:space="0"/>
            </w:tcBorders>
            <w:noWrap w:val="0"/>
            <w:vAlign w:val="center"/>
          </w:tcPr>
          <w:p w14:paraId="5074B410">
            <w:pPr>
              <w:shd w:val="clear" w:color="auto" w:fill="FFFFFF"/>
              <w:tabs>
                <w:tab w:val="left" w:pos="720"/>
                <w:tab w:val="left" w:pos="900"/>
              </w:tabs>
              <w:adjustRightInd w:val="0"/>
              <w:snapToGrid w:val="0"/>
              <w:spacing w:line="560" w:lineRule="exact"/>
              <w:jc w:val="center"/>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单价</w:t>
            </w:r>
            <w:r>
              <w:rPr>
                <w:rFonts w:hint="eastAsia" w:hAnsi="仿宋_GB2312" w:cs="仿宋_GB2312"/>
                <w:sz w:val="32"/>
                <w:szCs w:val="32"/>
                <w:shd w:val="clear" w:color="auto" w:fill="FFFFFF"/>
                <w:lang w:val="en-US" w:eastAsia="zh-CN"/>
              </w:rPr>
              <w:t>限价</w:t>
            </w:r>
          </w:p>
        </w:tc>
      </w:tr>
      <w:tr w14:paraId="01A02CAE">
        <w:tblPrEx>
          <w:tblCellMar>
            <w:top w:w="0" w:type="dxa"/>
            <w:left w:w="108" w:type="dxa"/>
            <w:bottom w:w="0" w:type="dxa"/>
            <w:right w:w="108" w:type="dxa"/>
          </w:tblCellMar>
        </w:tblPrEx>
        <w:trPr>
          <w:trHeight w:val="284" w:hRule="atLeast"/>
          <w:jc w:val="center"/>
        </w:trPr>
        <w:tc>
          <w:tcPr>
            <w:tcW w:w="1734" w:type="dxa"/>
            <w:tcBorders>
              <w:top w:val="nil"/>
              <w:left w:val="single" w:color="auto" w:sz="4" w:space="0"/>
              <w:bottom w:val="single" w:color="auto" w:sz="4" w:space="0"/>
              <w:right w:val="single" w:color="auto" w:sz="4" w:space="0"/>
            </w:tcBorders>
            <w:noWrap w:val="0"/>
            <w:vAlign w:val="center"/>
          </w:tcPr>
          <w:p w14:paraId="2F038814">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搭建完整人类蛋白质相互作用网络</w:t>
            </w:r>
          </w:p>
        </w:tc>
        <w:tc>
          <w:tcPr>
            <w:tcW w:w="3208" w:type="dxa"/>
            <w:tcBorders>
              <w:top w:val="nil"/>
              <w:left w:val="nil"/>
              <w:bottom w:val="single" w:color="auto" w:sz="4" w:space="0"/>
              <w:right w:val="single" w:color="auto" w:sz="4" w:space="0"/>
            </w:tcBorders>
            <w:noWrap w:val="0"/>
            <w:vAlign w:val="center"/>
          </w:tcPr>
          <w:p w14:paraId="6541F202">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通过系统整合已知的蛋白质相互作用数据库并进行数据质量控制，搭建完整的人类蛋白质网络</w:t>
            </w:r>
          </w:p>
        </w:tc>
        <w:tc>
          <w:tcPr>
            <w:tcW w:w="1105" w:type="dxa"/>
            <w:tcBorders>
              <w:top w:val="single" w:color="auto" w:sz="4" w:space="0"/>
              <w:left w:val="nil"/>
              <w:bottom w:val="single" w:color="auto" w:sz="4" w:space="0"/>
              <w:right w:val="single" w:color="auto" w:sz="4" w:space="0"/>
            </w:tcBorders>
            <w:noWrap w:val="0"/>
            <w:vAlign w:val="center"/>
          </w:tcPr>
          <w:p w14:paraId="4B6112E2">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9F49CCE">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p>
        </w:tc>
        <w:tc>
          <w:tcPr>
            <w:tcW w:w="992" w:type="dxa"/>
            <w:tcBorders>
              <w:top w:val="nil"/>
              <w:left w:val="nil"/>
              <w:bottom w:val="single" w:color="auto" w:sz="4" w:space="0"/>
              <w:right w:val="single" w:color="auto" w:sz="4" w:space="0"/>
            </w:tcBorders>
            <w:noWrap w:val="0"/>
            <w:vAlign w:val="center"/>
          </w:tcPr>
          <w:p w14:paraId="1F181F9A">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4000</w:t>
            </w:r>
          </w:p>
        </w:tc>
      </w:tr>
      <w:tr w14:paraId="4284554B">
        <w:tblPrEx>
          <w:tblCellMar>
            <w:top w:w="0" w:type="dxa"/>
            <w:left w:w="108" w:type="dxa"/>
            <w:bottom w:w="0" w:type="dxa"/>
            <w:right w:w="108" w:type="dxa"/>
          </w:tblCellMar>
        </w:tblPrEx>
        <w:trPr>
          <w:trHeight w:val="284" w:hRule="atLeast"/>
          <w:jc w:val="center"/>
        </w:trPr>
        <w:tc>
          <w:tcPr>
            <w:tcW w:w="1734" w:type="dxa"/>
            <w:tcBorders>
              <w:top w:val="nil"/>
              <w:left w:val="single" w:color="auto" w:sz="4" w:space="0"/>
              <w:bottom w:val="single" w:color="auto" w:sz="4" w:space="0"/>
              <w:right w:val="single" w:color="auto" w:sz="4" w:space="0"/>
            </w:tcBorders>
            <w:noWrap w:val="0"/>
            <w:vAlign w:val="center"/>
          </w:tcPr>
          <w:p w14:paraId="1A6B9E57">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网络分离度(network separation)</w:t>
            </w:r>
          </w:p>
        </w:tc>
        <w:tc>
          <w:tcPr>
            <w:tcW w:w="3208" w:type="dxa"/>
            <w:tcBorders>
              <w:top w:val="nil"/>
              <w:left w:val="nil"/>
              <w:bottom w:val="single" w:color="auto" w:sz="4" w:space="0"/>
              <w:right w:val="single" w:color="auto" w:sz="4" w:space="0"/>
            </w:tcBorders>
            <w:noWrap w:val="0"/>
            <w:vAlign w:val="center"/>
          </w:tcPr>
          <w:p w14:paraId="6B1A39FA">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bookmarkStart w:id="0" w:name="OLE_LINK5"/>
            <w:bookmarkStart w:id="1" w:name="OLE_LINK3"/>
            <w:bookmarkStart w:id="2" w:name="OLE_LINK6"/>
            <w:r>
              <w:rPr>
                <w:rFonts w:hint="eastAsia" w:ascii="仿宋_GB2312" w:hAnsi="仿宋_GB2312" w:eastAsia="仿宋_GB2312" w:cs="仿宋_GB2312"/>
                <w:sz w:val="32"/>
                <w:szCs w:val="32"/>
                <w:shd w:val="clear" w:color="auto" w:fill="FFFFFF"/>
                <w:lang w:val="en-US" w:eastAsia="zh-CN"/>
              </w:rPr>
              <w:t>除直接的平均网络距离</w:t>
            </w:r>
            <m:oMath>
              <m:d>
                <m:dPr>
                  <m:begChr m:val="〈"/>
                  <m:endChr m:val="〉"/>
                  <m:ctrlPr>
                    <w:rPr>
                      <w:rFonts w:hint="default" w:ascii="Cambria Math" w:hAnsi="Cambria Math"/>
                      <w:i/>
                      <w:sz w:val="23"/>
                      <w:szCs w:val="23"/>
                    </w:rPr>
                  </m:ctrlPr>
                </m:dPr>
                <m:e>
                  <m:sSub>
                    <m:sSubPr>
                      <m:ctrlPr>
                        <w:rPr>
                          <w:rFonts w:hint="default" w:ascii="Cambria Math" w:hAnsi="Cambria Math"/>
                          <w:i/>
                          <w:sz w:val="23"/>
                          <w:szCs w:val="23"/>
                        </w:rPr>
                      </m:ctrlPr>
                    </m:sSubPr>
                    <m:e>
                      <m:r>
                        <m:rPr/>
                        <w:rPr>
                          <w:rFonts w:hint="default" w:ascii="Cambria Math" w:hAnsi="Cambria Math"/>
                          <w:sz w:val="23"/>
                          <w:szCs w:val="23"/>
                        </w:rPr>
                        <m:t>d</m:t>
                      </m:r>
                      <m:ctrlPr>
                        <w:rPr>
                          <w:rFonts w:hint="default" w:ascii="Cambria Math" w:hAnsi="Cambria Math"/>
                          <w:i/>
                          <w:sz w:val="23"/>
                          <w:szCs w:val="23"/>
                        </w:rPr>
                      </m:ctrlPr>
                    </m:e>
                    <m:sub>
                      <m:r>
                        <m:rPr/>
                        <w:rPr>
                          <w:rFonts w:hint="default" w:ascii="Cambria Math" w:hAnsi="Cambria Math"/>
                          <w:sz w:val="23"/>
                          <w:szCs w:val="23"/>
                        </w:rPr>
                        <m:t>AB</m:t>
                      </m:r>
                      <m:ctrlPr>
                        <w:rPr>
                          <w:rFonts w:hint="default" w:ascii="Cambria Math" w:hAnsi="Cambria Math"/>
                          <w:i/>
                          <w:sz w:val="23"/>
                          <w:szCs w:val="23"/>
                        </w:rPr>
                      </m:ctrlPr>
                    </m:sub>
                  </m:sSub>
                  <m:ctrlPr>
                    <w:rPr>
                      <w:rFonts w:hint="default" w:ascii="Cambria Math" w:hAnsi="Cambria Math"/>
                      <w:i/>
                      <w:sz w:val="23"/>
                      <w:szCs w:val="23"/>
                    </w:rPr>
                  </m:ctrlPr>
                </m:e>
              </m:d>
            </m:oMath>
            <w:r>
              <w:rPr>
                <w:rFonts w:hint="eastAsia" w:ascii="仿宋_GB2312" w:hAnsi="仿宋_GB2312" w:eastAsia="仿宋_GB2312" w:cs="仿宋_GB2312"/>
                <w:sz w:val="32"/>
                <w:szCs w:val="32"/>
                <w:shd w:val="clear" w:color="auto" w:fill="FFFFFF"/>
                <w:lang w:val="en-US" w:eastAsia="zh-CN"/>
              </w:rPr>
              <w:t>（即节点集A、B之间的节点平均距离)外，还可以用网络分离度描述节点间的距</w:t>
            </w:r>
            <w:bookmarkEnd w:id="0"/>
            <w:r>
              <w:rPr>
                <w:rFonts w:hint="eastAsia" w:ascii="仿宋_GB2312" w:hAnsi="仿宋_GB2312" w:eastAsia="仿宋_GB2312" w:cs="仿宋_GB2312"/>
                <w:sz w:val="32"/>
                <w:szCs w:val="32"/>
                <w:shd w:val="clear" w:color="auto" w:fill="FFFFFF"/>
                <w:lang w:val="en-US" w:eastAsia="zh-CN"/>
              </w:rPr>
              <w:t>离</w:t>
            </w:r>
            <w:bookmarkEnd w:id="1"/>
            <w:r>
              <w:rPr>
                <w:rFonts w:hint="eastAsia" w:ascii="仿宋_GB2312" w:hAnsi="仿宋_GB2312" w:eastAsia="仿宋_GB2312" w:cs="仿宋_GB2312"/>
                <w:sz w:val="32"/>
                <w:szCs w:val="32"/>
                <w:shd w:val="clear" w:color="auto" w:fill="FFFFFF"/>
                <w:lang w:val="en-US" w:eastAsia="zh-CN"/>
              </w:rPr>
              <w:t>。</w:t>
            </w:r>
            <w:bookmarkEnd w:id="2"/>
          </w:p>
        </w:tc>
        <w:tc>
          <w:tcPr>
            <w:tcW w:w="1105" w:type="dxa"/>
            <w:tcBorders>
              <w:top w:val="single" w:color="auto" w:sz="4" w:space="0"/>
              <w:left w:val="nil"/>
              <w:bottom w:val="single" w:color="auto" w:sz="4" w:space="0"/>
              <w:right w:val="single" w:color="auto" w:sz="4" w:space="0"/>
            </w:tcBorders>
            <w:noWrap w:val="0"/>
            <w:vAlign w:val="center"/>
          </w:tcPr>
          <w:p w14:paraId="76CE7BA3">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F031B4C">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p>
        </w:tc>
        <w:tc>
          <w:tcPr>
            <w:tcW w:w="992" w:type="dxa"/>
            <w:tcBorders>
              <w:top w:val="nil"/>
              <w:left w:val="nil"/>
              <w:bottom w:val="single" w:color="auto" w:sz="4" w:space="0"/>
              <w:right w:val="single" w:color="auto" w:sz="4" w:space="0"/>
            </w:tcBorders>
            <w:noWrap w:val="0"/>
            <w:vAlign w:val="center"/>
          </w:tcPr>
          <w:p w14:paraId="1AC12E2C">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4000</w:t>
            </w:r>
          </w:p>
        </w:tc>
      </w:tr>
      <w:tr w14:paraId="1D2B6401">
        <w:tblPrEx>
          <w:tblCellMar>
            <w:top w:w="0" w:type="dxa"/>
            <w:left w:w="108" w:type="dxa"/>
            <w:bottom w:w="0" w:type="dxa"/>
            <w:right w:w="108" w:type="dxa"/>
          </w:tblCellMar>
        </w:tblPrEx>
        <w:trPr>
          <w:trHeight w:val="284" w:hRule="atLeast"/>
          <w:jc w:val="center"/>
        </w:trPr>
        <w:tc>
          <w:tcPr>
            <w:tcW w:w="1734" w:type="dxa"/>
            <w:tcBorders>
              <w:top w:val="single" w:color="auto" w:sz="4" w:space="0"/>
              <w:left w:val="single" w:color="auto" w:sz="4" w:space="0"/>
              <w:bottom w:val="single" w:color="auto" w:sz="4" w:space="0"/>
              <w:right w:val="single" w:color="auto" w:sz="4" w:space="0"/>
            </w:tcBorders>
            <w:noWrap w:val="0"/>
            <w:vAlign w:val="center"/>
          </w:tcPr>
          <w:p w14:paraId="2F8AEB19">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网络邻近度Network proximity）</w:t>
            </w:r>
          </w:p>
        </w:tc>
        <w:tc>
          <w:tcPr>
            <w:tcW w:w="3208" w:type="dxa"/>
            <w:tcBorders>
              <w:top w:val="single" w:color="auto" w:sz="4" w:space="0"/>
              <w:left w:val="nil"/>
              <w:bottom w:val="single" w:color="auto" w:sz="4" w:space="0"/>
              <w:right w:val="single" w:color="auto" w:sz="4" w:space="0"/>
            </w:tcBorders>
            <w:noWrap w:val="0"/>
            <w:vAlign w:val="top"/>
          </w:tcPr>
          <w:p w14:paraId="37E7EF27">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bookmarkStart w:id="3" w:name="OLE_LINK8"/>
            <w:r>
              <w:rPr>
                <w:rFonts w:hint="eastAsia" w:ascii="仿宋_GB2312" w:hAnsi="仿宋_GB2312" w:eastAsia="仿宋_GB2312" w:cs="仿宋_GB2312"/>
                <w:sz w:val="32"/>
                <w:szCs w:val="32"/>
                <w:shd w:val="clear" w:color="auto" w:fill="FFFFFF"/>
                <w:lang w:val="en-US" w:eastAsia="zh-CN"/>
              </w:rPr>
              <w:t>描述药物/中药或化合物的靶标集</w:t>
            </w:r>
            <w:r>
              <w:rPr>
                <w:rFonts w:ascii="Cambria Math" w:hAnsi="Cambria Math" w:cs="Cambria Math"/>
                <w:kern w:val="0"/>
                <w:sz w:val="23"/>
                <w:szCs w:val="23"/>
              </w:rPr>
              <w:t>𝑇</w:t>
            </w:r>
            <w:r>
              <w:rPr>
                <w:rFonts w:hint="eastAsia" w:ascii="仿宋_GB2312" w:hAnsi="仿宋_GB2312" w:eastAsia="仿宋_GB2312" w:cs="仿宋_GB2312"/>
                <w:sz w:val="32"/>
                <w:szCs w:val="32"/>
                <w:shd w:val="clear" w:color="auto" w:fill="FFFFFF"/>
                <w:lang w:val="en-US" w:eastAsia="zh-CN"/>
              </w:rPr>
              <w:t>和症状关联蛋白集S之间邻近程度的网络指标</w:t>
            </w:r>
            <w:bookmarkEnd w:id="3"/>
          </w:p>
        </w:tc>
        <w:tc>
          <w:tcPr>
            <w:tcW w:w="1105" w:type="dxa"/>
            <w:tcBorders>
              <w:top w:val="single" w:color="auto" w:sz="4" w:space="0"/>
              <w:left w:val="nil"/>
              <w:bottom w:val="single" w:color="auto" w:sz="4" w:space="0"/>
              <w:right w:val="single" w:color="auto" w:sz="4" w:space="0"/>
            </w:tcBorders>
            <w:noWrap w:val="0"/>
            <w:vAlign w:val="center"/>
          </w:tcPr>
          <w:p w14:paraId="32063D33">
            <w:pPr>
              <w:shd w:val="clear" w:color="auto" w:fill="FFFFFF"/>
              <w:tabs>
                <w:tab w:val="left" w:pos="720"/>
                <w:tab w:val="left" w:pos="900"/>
              </w:tabs>
              <w:adjustRightInd w:val="0"/>
              <w:snapToGrid w:val="0"/>
              <w:spacing w:line="560" w:lineRule="exact"/>
              <w:ind w:firstLine="640" w:firstLineChars="200"/>
              <w:jc w:val="both"/>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16FACAF">
            <w:pPr>
              <w:shd w:val="clear" w:color="auto" w:fill="FFFFFF"/>
              <w:tabs>
                <w:tab w:val="left" w:pos="720"/>
                <w:tab w:val="left" w:pos="900"/>
              </w:tabs>
              <w:adjustRightInd w:val="0"/>
              <w:snapToGrid w:val="0"/>
              <w:spacing w:line="560" w:lineRule="exact"/>
              <w:ind w:firstLine="640" w:firstLineChars="20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p>
        </w:tc>
        <w:tc>
          <w:tcPr>
            <w:tcW w:w="992" w:type="dxa"/>
            <w:tcBorders>
              <w:top w:val="nil"/>
              <w:left w:val="nil"/>
              <w:bottom w:val="single" w:color="auto" w:sz="4" w:space="0"/>
              <w:right w:val="single" w:color="auto" w:sz="4" w:space="0"/>
            </w:tcBorders>
            <w:noWrap w:val="0"/>
            <w:vAlign w:val="center"/>
          </w:tcPr>
          <w:p w14:paraId="0766AD4D">
            <w:pPr>
              <w:shd w:val="clear" w:color="auto" w:fill="FFFFFF"/>
              <w:tabs>
                <w:tab w:val="left" w:pos="720"/>
                <w:tab w:val="left" w:pos="900"/>
              </w:tabs>
              <w:adjustRightInd w:val="0"/>
              <w:snapToGrid w:val="0"/>
              <w:spacing w:line="560" w:lineRule="exact"/>
              <w:ind w:firstLine="640" w:firstLineChars="20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4000</w:t>
            </w:r>
          </w:p>
        </w:tc>
      </w:tr>
      <w:tr w14:paraId="5ECA59EB">
        <w:tblPrEx>
          <w:tblCellMar>
            <w:top w:w="0" w:type="dxa"/>
            <w:left w:w="108" w:type="dxa"/>
            <w:bottom w:w="0" w:type="dxa"/>
            <w:right w:w="108" w:type="dxa"/>
          </w:tblCellMar>
        </w:tblPrEx>
        <w:trPr>
          <w:trHeight w:val="284" w:hRule="atLeast"/>
          <w:jc w:val="center"/>
        </w:trPr>
        <w:tc>
          <w:tcPr>
            <w:tcW w:w="1734" w:type="dxa"/>
            <w:tcBorders>
              <w:top w:val="single" w:color="auto" w:sz="4" w:space="0"/>
              <w:left w:val="single" w:color="auto" w:sz="4" w:space="0"/>
              <w:bottom w:val="single" w:color="auto" w:sz="4" w:space="0"/>
              <w:right w:val="single" w:color="auto" w:sz="4" w:space="0"/>
            </w:tcBorders>
            <w:noWrap w:val="0"/>
            <w:vAlign w:val="center"/>
          </w:tcPr>
          <w:p w14:paraId="4D22E9F8">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单体分子筛选</w:t>
            </w:r>
          </w:p>
        </w:tc>
        <w:tc>
          <w:tcPr>
            <w:tcW w:w="3208" w:type="dxa"/>
            <w:tcBorders>
              <w:top w:val="single" w:color="auto" w:sz="4" w:space="0"/>
              <w:left w:val="nil"/>
              <w:bottom w:val="single" w:color="auto" w:sz="4" w:space="0"/>
              <w:right w:val="single" w:color="auto" w:sz="4" w:space="0"/>
            </w:tcBorders>
            <w:noWrap w:val="0"/>
            <w:vAlign w:val="center"/>
          </w:tcPr>
          <w:p w14:paraId="7015A950">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批量检索当归补血汤的化学成分，筛选出具有潜在活性的单体分子，形成《单体分子初筛清单》，完成 “初始物质池” 构建。</w:t>
            </w:r>
          </w:p>
          <w:p w14:paraId="4478A4A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p>
        </w:tc>
        <w:tc>
          <w:tcPr>
            <w:tcW w:w="1105" w:type="dxa"/>
            <w:tcBorders>
              <w:top w:val="single" w:color="auto" w:sz="4" w:space="0"/>
              <w:left w:val="nil"/>
              <w:bottom w:val="single" w:color="auto" w:sz="4" w:space="0"/>
              <w:right w:val="single" w:color="auto" w:sz="4" w:space="0"/>
            </w:tcBorders>
            <w:noWrap w:val="0"/>
            <w:vAlign w:val="center"/>
          </w:tcPr>
          <w:p w14:paraId="6CA1CDC8">
            <w:pPr>
              <w:shd w:val="clear" w:color="auto" w:fill="FFFFFF"/>
              <w:tabs>
                <w:tab w:val="left" w:pos="720"/>
                <w:tab w:val="left" w:pos="900"/>
              </w:tabs>
              <w:adjustRightInd w:val="0"/>
              <w:snapToGrid w:val="0"/>
              <w:spacing w:line="560" w:lineRule="exact"/>
              <w:ind w:firstLine="640" w:firstLineChars="200"/>
              <w:jc w:val="both"/>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D412070">
            <w:pPr>
              <w:shd w:val="clear" w:color="auto" w:fill="FFFFFF"/>
              <w:tabs>
                <w:tab w:val="left" w:pos="720"/>
                <w:tab w:val="left" w:pos="900"/>
              </w:tabs>
              <w:adjustRightInd w:val="0"/>
              <w:snapToGrid w:val="0"/>
              <w:spacing w:line="560" w:lineRule="exact"/>
              <w:ind w:firstLine="640" w:firstLineChars="20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p>
        </w:tc>
        <w:tc>
          <w:tcPr>
            <w:tcW w:w="992" w:type="dxa"/>
            <w:tcBorders>
              <w:top w:val="single" w:color="auto" w:sz="4" w:space="0"/>
              <w:left w:val="nil"/>
              <w:bottom w:val="single" w:color="auto" w:sz="4" w:space="0"/>
              <w:right w:val="single" w:color="auto" w:sz="4" w:space="0"/>
            </w:tcBorders>
            <w:noWrap w:val="0"/>
            <w:vAlign w:val="center"/>
          </w:tcPr>
          <w:p w14:paraId="18C3C51F">
            <w:pPr>
              <w:shd w:val="clear" w:color="auto" w:fill="FFFFFF"/>
              <w:tabs>
                <w:tab w:val="left" w:pos="720"/>
                <w:tab w:val="left" w:pos="900"/>
              </w:tabs>
              <w:adjustRightInd w:val="0"/>
              <w:snapToGrid w:val="0"/>
              <w:spacing w:line="560" w:lineRule="exact"/>
              <w:ind w:firstLine="640" w:firstLineChars="20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4000</w:t>
            </w:r>
          </w:p>
        </w:tc>
      </w:tr>
      <w:tr w14:paraId="5B1D42E7">
        <w:tblPrEx>
          <w:tblCellMar>
            <w:top w:w="0" w:type="dxa"/>
            <w:left w:w="108" w:type="dxa"/>
            <w:bottom w:w="0" w:type="dxa"/>
            <w:right w:w="108" w:type="dxa"/>
          </w:tblCellMar>
        </w:tblPrEx>
        <w:trPr>
          <w:trHeight w:val="284" w:hRule="atLeast"/>
          <w:jc w:val="center"/>
        </w:trPr>
        <w:tc>
          <w:tcPr>
            <w:tcW w:w="1734" w:type="dxa"/>
            <w:tcBorders>
              <w:top w:val="single" w:color="auto" w:sz="4" w:space="0"/>
              <w:left w:val="single" w:color="auto" w:sz="4" w:space="0"/>
              <w:bottom w:val="single" w:color="auto" w:sz="4" w:space="0"/>
              <w:right w:val="single" w:color="auto" w:sz="4" w:space="0"/>
            </w:tcBorders>
            <w:noWrap w:val="0"/>
            <w:vAlign w:val="center"/>
          </w:tcPr>
          <w:p w14:paraId="555385D1">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代谢产物预测</w:t>
            </w:r>
          </w:p>
        </w:tc>
        <w:tc>
          <w:tcPr>
            <w:tcW w:w="3208" w:type="dxa"/>
            <w:tcBorders>
              <w:top w:val="single" w:color="auto" w:sz="4" w:space="0"/>
              <w:left w:val="nil"/>
              <w:bottom w:val="single" w:color="auto" w:sz="4" w:space="0"/>
              <w:right w:val="single" w:color="auto" w:sz="4" w:space="0"/>
            </w:tcBorders>
            <w:noWrap w:val="0"/>
            <w:vAlign w:val="center"/>
          </w:tcPr>
          <w:p w14:paraId="76433DB0">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将初筛后的单体分子结构导入 BioTransformer3.0 工具，选择 “人体肝脏代谢”“肠道菌群代谢” 等核心代谢途径，设置代谢反应规则（如氧化、还原、水解），批量预测各单体的代谢产物，输出代谢产物结构、生成路径及相对丰度，完善 “活性物质池”</w:t>
            </w:r>
          </w:p>
          <w:p w14:paraId="6C05ADC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p>
        </w:tc>
        <w:tc>
          <w:tcPr>
            <w:tcW w:w="1105" w:type="dxa"/>
            <w:tcBorders>
              <w:top w:val="single" w:color="auto" w:sz="4" w:space="0"/>
              <w:left w:val="nil"/>
              <w:bottom w:val="single" w:color="auto" w:sz="4" w:space="0"/>
              <w:right w:val="single" w:color="auto" w:sz="4" w:space="0"/>
            </w:tcBorders>
            <w:noWrap w:val="0"/>
            <w:vAlign w:val="center"/>
          </w:tcPr>
          <w:p w14:paraId="28BB4D0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E064B9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p>
        </w:tc>
        <w:tc>
          <w:tcPr>
            <w:tcW w:w="992" w:type="dxa"/>
            <w:tcBorders>
              <w:top w:val="single" w:color="auto" w:sz="4" w:space="0"/>
              <w:left w:val="nil"/>
              <w:bottom w:val="single" w:color="auto" w:sz="4" w:space="0"/>
              <w:right w:val="single" w:color="auto" w:sz="4" w:space="0"/>
            </w:tcBorders>
            <w:noWrap w:val="0"/>
            <w:vAlign w:val="center"/>
          </w:tcPr>
          <w:p w14:paraId="161B3245">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4000</w:t>
            </w:r>
          </w:p>
        </w:tc>
      </w:tr>
      <w:tr w14:paraId="692CD0B6">
        <w:tblPrEx>
          <w:tblCellMar>
            <w:top w:w="0" w:type="dxa"/>
            <w:left w:w="108" w:type="dxa"/>
            <w:bottom w:w="0" w:type="dxa"/>
            <w:right w:w="108" w:type="dxa"/>
          </w:tblCellMar>
        </w:tblPrEx>
        <w:trPr>
          <w:trHeight w:val="284" w:hRule="atLeast"/>
          <w:jc w:val="center"/>
        </w:trPr>
        <w:tc>
          <w:tcPr>
            <w:tcW w:w="1734" w:type="dxa"/>
            <w:tcBorders>
              <w:top w:val="single" w:color="auto" w:sz="4" w:space="0"/>
              <w:left w:val="single" w:color="auto" w:sz="4" w:space="0"/>
              <w:bottom w:val="single" w:color="auto" w:sz="4" w:space="0"/>
              <w:right w:val="single" w:color="auto" w:sz="4" w:space="0"/>
            </w:tcBorders>
            <w:noWrap w:val="0"/>
            <w:vAlign w:val="center"/>
          </w:tcPr>
          <w:p w14:paraId="7C90E683">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bookmarkStart w:id="4" w:name="OLE_LINK7"/>
            <w:r>
              <w:rPr>
                <w:rFonts w:hint="eastAsia" w:ascii="仿宋_GB2312" w:hAnsi="仿宋_GB2312" w:eastAsia="仿宋_GB2312" w:cs="仿宋_GB2312"/>
                <w:sz w:val="32"/>
                <w:szCs w:val="32"/>
                <w:shd w:val="clear" w:color="auto" w:fill="FFFFFF"/>
                <w:lang w:val="en-US" w:eastAsia="zh-CN"/>
              </w:rPr>
              <w:t>潜在靶点预测</w:t>
            </w:r>
            <w:bookmarkEnd w:id="4"/>
          </w:p>
        </w:tc>
        <w:tc>
          <w:tcPr>
            <w:tcW w:w="3208" w:type="dxa"/>
            <w:tcBorders>
              <w:top w:val="single" w:color="auto" w:sz="4" w:space="0"/>
              <w:left w:val="nil"/>
              <w:bottom w:val="single" w:color="auto" w:sz="4" w:space="0"/>
              <w:right w:val="single" w:color="auto" w:sz="4" w:space="0"/>
            </w:tcBorders>
            <w:noWrap w:val="0"/>
            <w:vAlign w:val="top"/>
          </w:tcPr>
          <w:p w14:paraId="3D7DBA81">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将单体分子及代谢产物的 SMILES 结构上传至 SwissTargetPrediction 在线平台，设定物种为 “人类”，获取各物质对应的潜在靶点（如蛋白、酶、受体）；同时结合 DisGeNET、OMIM 等疾病数据库，筛选出与肝纤维化直接相关的靶点，建立 “物质 - 靶点 - 疾病” 关联表，形成《活性物质潜在靶点数据集》</w:t>
            </w:r>
          </w:p>
        </w:tc>
        <w:tc>
          <w:tcPr>
            <w:tcW w:w="1105" w:type="dxa"/>
            <w:tcBorders>
              <w:top w:val="single" w:color="auto" w:sz="4" w:space="0"/>
              <w:left w:val="nil"/>
              <w:bottom w:val="single" w:color="auto" w:sz="4" w:space="0"/>
              <w:right w:val="single" w:color="auto" w:sz="4" w:space="0"/>
            </w:tcBorders>
            <w:noWrap w:val="0"/>
            <w:vAlign w:val="center"/>
          </w:tcPr>
          <w:p w14:paraId="4F3CCC2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D80B50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p>
        </w:tc>
        <w:tc>
          <w:tcPr>
            <w:tcW w:w="992" w:type="dxa"/>
            <w:tcBorders>
              <w:top w:val="single" w:color="auto" w:sz="4" w:space="0"/>
              <w:left w:val="nil"/>
              <w:bottom w:val="single" w:color="auto" w:sz="4" w:space="0"/>
              <w:right w:val="single" w:color="auto" w:sz="4" w:space="0"/>
            </w:tcBorders>
            <w:noWrap w:val="0"/>
            <w:vAlign w:val="center"/>
          </w:tcPr>
          <w:p w14:paraId="4F1EE7C9">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5000</w:t>
            </w:r>
          </w:p>
        </w:tc>
      </w:tr>
      <w:tr w14:paraId="611BECC0">
        <w:tblPrEx>
          <w:tblCellMar>
            <w:top w:w="0" w:type="dxa"/>
            <w:left w:w="108" w:type="dxa"/>
            <w:bottom w:w="0" w:type="dxa"/>
            <w:right w:w="108" w:type="dxa"/>
          </w:tblCellMar>
        </w:tblPrEx>
        <w:trPr>
          <w:trHeight w:val="284" w:hRule="atLeast"/>
          <w:jc w:val="center"/>
        </w:trPr>
        <w:tc>
          <w:tcPr>
            <w:tcW w:w="1734" w:type="dxa"/>
            <w:tcBorders>
              <w:top w:val="single" w:color="auto" w:sz="4" w:space="0"/>
              <w:left w:val="single" w:color="auto" w:sz="4" w:space="0"/>
              <w:bottom w:val="single" w:color="auto" w:sz="4" w:space="0"/>
              <w:right w:val="single" w:color="auto" w:sz="4" w:space="0"/>
            </w:tcBorders>
            <w:noWrap w:val="0"/>
            <w:vAlign w:val="center"/>
          </w:tcPr>
          <w:p w14:paraId="2F7840A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单细胞测序</w:t>
            </w:r>
          </w:p>
        </w:tc>
        <w:tc>
          <w:tcPr>
            <w:tcW w:w="3208" w:type="dxa"/>
            <w:tcBorders>
              <w:top w:val="single" w:color="auto" w:sz="4" w:space="0"/>
              <w:left w:val="nil"/>
              <w:bottom w:val="single" w:color="auto" w:sz="4" w:space="0"/>
              <w:right w:val="single" w:color="auto" w:sz="4" w:space="0"/>
            </w:tcBorders>
            <w:noWrap w:val="0"/>
            <w:vAlign w:val="center"/>
          </w:tcPr>
          <w:p w14:paraId="7EE7ABF8">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通过差异表达分析（DESeq2）筛选各细胞类群在肝纤维化进程中的差异表达基因；结合 GO 功能注释、KEGG 通路富集分析，明确不同细胞类群的功能变化及核心调控通路，整理成《肝纤维化单细胞转录组图谱证据集</w:t>
            </w:r>
          </w:p>
        </w:tc>
        <w:tc>
          <w:tcPr>
            <w:tcW w:w="1105" w:type="dxa"/>
            <w:tcBorders>
              <w:top w:val="single" w:color="auto" w:sz="4" w:space="0"/>
              <w:left w:val="nil"/>
              <w:bottom w:val="single" w:color="auto" w:sz="4" w:space="0"/>
              <w:right w:val="single" w:color="auto" w:sz="4" w:space="0"/>
            </w:tcBorders>
            <w:noWrap w:val="0"/>
            <w:vAlign w:val="center"/>
          </w:tcPr>
          <w:p w14:paraId="7A58272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例</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71FB46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w:t>
            </w:r>
          </w:p>
        </w:tc>
        <w:tc>
          <w:tcPr>
            <w:tcW w:w="992" w:type="dxa"/>
            <w:tcBorders>
              <w:top w:val="single" w:color="auto" w:sz="4" w:space="0"/>
              <w:left w:val="nil"/>
              <w:bottom w:val="single" w:color="auto" w:sz="4" w:space="0"/>
              <w:right w:val="single" w:color="auto" w:sz="4" w:space="0"/>
            </w:tcBorders>
            <w:noWrap w:val="0"/>
            <w:vAlign w:val="center"/>
          </w:tcPr>
          <w:p w14:paraId="1960D9B5">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12000</w:t>
            </w:r>
          </w:p>
        </w:tc>
      </w:tr>
      <w:tr w14:paraId="413EBA8C">
        <w:tblPrEx>
          <w:tblCellMar>
            <w:top w:w="0" w:type="dxa"/>
            <w:left w:w="108" w:type="dxa"/>
            <w:bottom w:w="0" w:type="dxa"/>
            <w:right w:w="108" w:type="dxa"/>
          </w:tblCellMar>
        </w:tblPrEx>
        <w:trPr>
          <w:trHeight w:val="284" w:hRule="atLeast"/>
          <w:jc w:val="center"/>
        </w:trPr>
        <w:tc>
          <w:tcPr>
            <w:tcW w:w="1734" w:type="dxa"/>
            <w:tcBorders>
              <w:top w:val="single" w:color="auto" w:sz="4" w:space="0"/>
              <w:left w:val="single" w:color="auto" w:sz="4" w:space="0"/>
              <w:bottom w:val="single" w:color="auto" w:sz="4" w:space="0"/>
              <w:right w:val="single" w:color="auto" w:sz="4" w:space="0"/>
            </w:tcBorders>
            <w:noWrap w:val="0"/>
            <w:vAlign w:val="center"/>
          </w:tcPr>
          <w:p w14:paraId="5E96CBFA">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肝纤维化类器官构建</w:t>
            </w:r>
          </w:p>
        </w:tc>
        <w:tc>
          <w:tcPr>
            <w:tcW w:w="3208" w:type="dxa"/>
            <w:tcBorders>
              <w:top w:val="single" w:color="auto" w:sz="4" w:space="0"/>
              <w:left w:val="nil"/>
              <w:bottom w:val="single" w:color="auto" w:sz="4" w:space="0"/>
              <w:right w:val="single" w:color="auto" w:sz="4" w:space="0"/>
            </w:tcBorders>
            <w:noWrap w:val="0"/>
            <w:vAlign w:val="center"/>
          </w:tcPr>
          <w:p w14:paraId="3A2ED9E3">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用于做单体药物靶点验证</w:t>
            </w:r>
          </w:p>
        </w:tc>
        <w:tc>
          <w:tcPr>
            <w:tcW w:w="1105" w:type="dxa"/>
            <w:tcBorders>
              <w:top w:val="single" w:color="auto" w:sz="4" w:space="0"/>
              <w:left w:val="nil"/>
              <w:bottom w:val="single" w:color="auto" w:sz="4" w:space="0"/>
              <w:right w:val="single" w:color="auto" w:sz="4" w:space="0"/>
            </w:tcBorders>
            <w:noWrap w:val="0"/>
            <w:vAlign w:val="center"/>
          </w:tcPr>
          <w:p w14:paraId="5E0F8AE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例</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BE38F54">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w:t>
            </w:r>
          </w:p>
        </w:tc>
        <w:tc>
          <w:tcPr>
            <w:tcW w:w="992" w:type="dxa"/>
            <w:tcBorders>
              <w:top w:val="single" w:color="auto" w:sz="4" w:space="0"/>
              <w:left w:val="nil"/>
              <w:bottom w:val="single" w:color="auto" w:sz="4" w:space="0"/>
              <w:right w:val="single" w:color="auto" w:sz="4" w:space="0"/>
            </w:tcBorders>
            <w:noWrap w:val="0"/>
            <w:vAlign w:val="center"/>
          </w:tcPr>
          <w:p w14:paraId="7420035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13000</w:t>
            </w:r>
          </w:p>
        </w:tc>
      </w:tr>
    </w:tbl>
    <w:p w14:paraId="594FC8C3">
      <w:pPr>
        <w:pStyle w:val="4"/>
        <w:numPr>
          <w:ilvl w:val="0"/>
          <w:numId w:val="0"/>
        </w:numPr>
        <w:ind w:firstLine="640" w:firstLineChars="200"/>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3.服务要求</w:t>
      </w:r>
    </w:p>
    <w:tbl>
      <w:tblPr>
        <w:tblStyle w:val="7"/>
        <w:tblW w:w="0" w:type="auto"/>
        <w:jc w:val="center"/>
        <w:tblLayout w:type="autofit"/>
        <w:tblCellMar>
          <w:top w:w="0" w:type="dxa"/>
          <w:left w:w="108" w:type="dxa"/>
          <w:bottom w:w="0" w:type="dxa"/>
          <w:right w:w="108" w:type="dxa"/>
        </w:tblCellMar>
      </w:tblPr>
      <w:tblGrid>
        <w:gridCol w:w="2280"/>
        <w:gridCol w:w="6242"/>
      </w:tblGrid>
      <w:tr w14:paraId="571D332B">
        <w:tblPrEx>
          <w:tblCellMar>
            <w:top w:w="0" w:type="dxa"/>
            <w:left w:w="108" w:type="dxa"/>
            <w:bottom w:w="0" w:type="dxa"/>
            <w:right w:w="108" w:type="dxa"/>
          </w:tblCellMar>
        </w:tblPrEx>
        <w:trPr>
          <w:trHeight w:val="284" w:hRule="atLeast"/>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14:paraId="42A21384">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项目名称</w:t>
            </w:r>
          </w:p>
        </w:tc>
        <w:tc>
          <w:tcPr>
            <w:tcW w:w="6242" w:type="dxa"/>
            <w:tcBorders>
              <w:top w:val="single" w:color="auto" w:sz="4" w:space="0"/>
              <w:left w:val="nil"/>
              <w:bottom w:val="single" w:color="auto" w:sz="4" w:space="0"/>
              <w:right w:val="single" w:color="auto" w:sz="4" w:space="0"/>
            </w:tcBorders>
            <w:noWrap w:val="0"/>
            <w:vAlign w:val="center"/>
          </w:tcPr>
          <w:p w14:paraId="2F9D859C">
            <w:pPr>
              <w:shd w:val="clear" w:color="auto" w:fill="FFFFFF"/>
              <w:tabs>
                <w:tab w:val="left" w:pos="720"/>
                <w:tab w:val="left" w:pos="900"/>
              </w:tabs>
              <w:adjustRightInd w:val="0"/>
              <w:snapToGrid w:val="0"/>
              <w:spacing w:line="560" w:lineRule="exact"/>
              <w:jc w:val="center"/>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技术要求</w:t>
            </w:r>
          </w:p>
        </w:tc>
      </w:tr>
      <w:tr w14:paraId="59F0AB6A">
        <w:tblPrEx>
          <w:tblCellMar>
            <w:top w:w="0" w:type="dxa"/>
            <w:left w:w="108" w:type="dxa"/>
            <w:bottom w:w="0" w:type="dxa"/>
            <w:right w:w="108" w:type="dxa"/>
          </w:tblCellMar>
        </w:tblPrEx>
        <w:trPr>
          <w:trHeight w:val="284" w:hRule="atLeast"/>
          <w:jc w:val="center"/>
        </w:trPr>
        <w:tc>
          <w:tcPr>
            <w:tcW w:w="2280" w:type="dxa"/>
            <w:tcBorders>
              <w:top w:val="nil"/>
              <w:left w:val="single" w:color="auto" w:sz="4" w:space="0"/>
              <w:bottom w:val="single" w:color="auto" w:sz="4" w:space="0"/>
              <w:right w:val="single" w:color="auto" w:sz="4" w:space="0"/>
            </w:tcBorders>
            <w:noWrap w:val="0"/>
            <w:vAlign w:val="center"/>
          </w:tcPr>
          <w:p w14:paraId="43CD3252">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搭建完整人类蛋白质相互作用网络</w:t>
            </w:r>
          </w:p>
        </w:tc>
        <w:tc>
          <w:tcPr>
            <w:tcW w:w="6242" w:type="dxa"/>
            <w:tcBorders>
              <w:top w:val="nil"/>
              <w:left w:val="nil"/>
              <w:bottom w:val="single" w:color="auto" w:sz="4" w:space="0"/>
              <w:right w:val="single" w:color="auto" w:sz="4" w:space="0"/>
            </w:tcBorders>
            <w:noWrap w:val="0"/>
            <w:vAlign w:val="center"/>
          </w:tcPr>
          <w:p w14:paraId="2B55A31F">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投标人通过系统整合已知的蛋白质相互作用数据库并进行数据质量控制，搭建完整的人类蛋白质网络</w:t>
            </w:r>
          </w:p>
        </w:tc>
      </w:tr>
      <w:tr w14:paraId="1746976D">
        <w:tblPrEx>
          <w:tblCellMar>
            <w:top w:w="0" w:type="dxa"/>
            <w:left w:w="108" w:type="dxa"/>
            <w:bottom w:w="0" w:type="dxa"/>
            <w:right w:w="108" w:type="dxa"/>
          </w:tblCellMar>
        </w:tblPrEx>
        <w:trPr>
          <w:trHeight w:val="284" w:hRule="atLeast"/>
          <w:jc w:val="center"/>
        </w:trPr>
        <w:tc>
          <w:tcPr>
            <w:tcW w:w="2280" w:type="dxa"/>
            <w:tcBorders>
              <w:top w:val="nil"/>
              <w:left w:val="single" w:color="auto" w:sz="4" w:space="0"/>
              <w:bottom w:val="single" w:color="auto" w:sz="4" w:space="0"/>
              <w:right w:val="single" w:color="auto" w:sz="4" w:space="0"/>
            </w:tcBorders>
            <w:noWrap w:val="0"/>
            <w:vAlign w:val="center"/>
          </w:tcPr>
          <w:p w14:paraId="37F10952">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网络分离度(network separation)</w:t>
            </w:r>
          </w:p>
        </w:tc>
        <w:tc>
          <w:tcPr>
            <w:tcW w:w="6242" w:type="dxa"/>
            <w:tcBorders>
              <w:top w:val="nil"/>
              <w:left w:val="nil"/>
              <w:bottom w:val="single" w:color="auto" w:sz="4" w:space="0"/>
              <w:right w:val="single" w:color="auto" w:sz="4" w:space="0"/>
            </w:tcBorders>
            <w:noWrap w:val="0"/>
            <w:vAlign w:val="center"/>
          </w:tcPr>
          <w:p w14:paraId="218B5E3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除直接的平均网络距离</w:t>
            </w:r>
            <m:oMath>
              <m:d>
                <m:dPr>
                  <m:begChr m:val="〈"/>
                  <m:endChr m:val="〉"/>
                  <m:ctrlPr>
                    <w:rPr>
                      <w:rFonts w:hint="default" w:ascii="Cambria Math" w:hAnsi="Cambria Math"/>
                      <w:i/>
                      <w:sz w:val="23"/>
                      <w:szCs w:val="23"/>
                    </w:rPr>
                  </m:ctrlPr>
                </m:dPr>
                <m:e>
                  <m:sSub>
                    <m:sSubPr>
                      <m:ctrlPr>
                        <w:rPr>
                          <w:rFonts w:hint="default" w:ascii="Cambria Math" w:hAnsi="Cambria Math"/>
                          <w:i/>
                          <w:sz w:val="23"/>
                          <w:szCs w:val="23"/>
                        </w:rPr>
                      </m:ctrlPr>
                    </m:sSubPr>
                    <m:e>
                      <m:r>
                        <m:rPr/>
                        <w:rPr>
                          <w:rFonts w:hint="default" w:ascii="Cambria Math" w:hAnsi="Cambria Math"/>
                          <w:sz w:val="23"/>
                          <w:szCs w:val="23"/>
                        </w:rPr>
                        <m:t>d</m:t>
                      </m:r>
                      <m:ctrlPr>
                        <w:rPr>
                          <w:rFonts w:hint="default" w:ascii="Cambria Math" w:hAnsi="Cambria Math"/>
                          <w:i/>
                          <w:sz w:val="23"/>
                          <w:szCs w:val="23"/>
                        </w:rPr>
                      </m:ctrlPr>
                    </m:e>
                    <m:sub>
                      <m:r>
                        <m:rPr/>
                        <w:rPr>
                          <w:rFonts w:hint="default" w:ascii="Cambria Math" w:hAnsi="Cambria Math"/>
                          <w:sz w:val="23"/>
                          <w:szCs w:val="23"/>
                        </w:rPr>
                        <m:t>AB</m:t>
                      </m:r>
                      <m:ctrlPr>
                        <w:rPr>
                          <w:rFonts w:hint="default" w:ascii="Cambria Math" w:hAnsi="Cambria Math"/>
                          <w:i/>
                          <w:sz w:val="23"/>
                          <w:szCs w:val="23"/>
                        </w:rPr>
                      </m:ctrlPr>
                    </m:sub>
                  </m:sSub>
                  <m:ctrlPr>
                    <w:rPr>
                      <w:rFonts w:hint="default" w:ascii="Cambria Math" w:hAnsi="Cambria Math"/>
                      <w:i/>
                      <w:sz w:val="23"/>
                      <w:szCs w:val="23"/>
                    </w:rPr>
                  </m:ctrlPr>
                </m:e>
              </m:d>
            </m:oMath>
            <w:r>
              <w:rPr>
                <w:rFonts w:hint="eastAsia" w:ascii="仿宋_GB2312" w:hAnsi="仿宋_GB2312" w:eastAsia="仿宋_GB2312" w:cs="仿宋_GB2312"/>
                <w:sz w:val="32"/>
                <w:szCs w:val="32"/>
                <w:shd w:val="clear" w:color="auto" w:fill="FFFFFF"/>
                <w:lang w:val="en-US" w:eastAsia="zh-CN"/>
              </w:rPr>
              <w:t>（即节点集A、B之间的节点平均距离)外，还可以用网络分离度描述节点间的距离。</w:t>
            </w:r>
          </w:p>
        </w:tc>
      </w:tr>
      <w:tr w14:paraId="4A695B32">
        <w:tblPrEx>
          <w:tblCellMar>
            <w:top w:w="0" w:type="dxa"/>
            <w:left w:w="108" w:type="dxa"/>
            <w:bottom w:w="0" w:type="dxa"/>
            <w:right w:w="108" w:type="dxa"/>
          </w:tblCellMar>
        </w:tblPrEx>
        <w:trPr>
          <w:trHeight w:val="284" w:hRule="atLeast"/>
          <w:jc w:val="center"/>
        </w:trPr>
        <w:tc>
          <w:tcPr>
            <w:tcW w:w="2280" w:type="dxa"/>
            <w:tcBorders>
              <w:top w:val="nil"/>
              <w:left w:val="single" w:color="auto" w:sz="4" w:space="0"/>
              <w:bottom w:val="single" w:color="auto" w:sz="4" w:space="0"/>
              <w:right w:val="single" w:color="auto" w:sz="4" w:space="0"/>
            </w:tcBorders>
            <w:noWrap w:val="0"/>
            <w:vAlign w:val="center"/>
          </w:tcPr>
          <w:p w14:paraId="00A82E4E">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网络邻近度（Network proximity）</w:t>
            </w:r>
          </w:p>
        </w:tc>
        <w:tc>
          <w:tcPr>
            <w:tcW w:w="6242" w:type="dxa"/>
            <w:tcBorders>
              <w:top w:val="nil"/>
              <w:left w:val="nil"/>
              <w:bottom w:val="single" w:color="auto" w:sz="4" w:space="0"/>
              <w:right w:val="single" w:color="auto" w:sz="4" w:space="0"/>
            </w:tcBorders>
            <w:noWrap w:val="0"/>
            <w:vAlign w:val="center"/>
          </w:tcPr>
          <w:p w14:paraId="67D83195">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通过数据集描述药物/中药或化合物的靶标集𝑇和症状关联蛋白集S之间邻近程度的网络指标</w:t>
            </w:r>
          </w:p>
        </w:tc>
      </w:tr>
      <w:tr w14:paraId="173D041C">
        <w:tblPrEx>
          <w:tblCellMar>
            <w:top w:w="0" w:type="dxa"/>
            <w:left w:w="108" w:type="dxa"/>
            <w:bottom w:w="0" w:type="dxa"/>
            <w:right w:w="108" w:type="dxa"/>
          </w:tblCellMar>
        </w:tblPrEx>
        <w:trPr>
          <w:trHeight w:val="284" w:hRule="atLeast"/>
          <w:jc w:val="center"/>
        </w:trPr>
        <w:tc>
          <w:tcPr>
            <w:tcW w:w="2280" w:type="dxa"/>
            <w:tcBorders>
              <w:top w:val="nil"/>
              <w:left w:val="single" w:color="auto" w:sz="4" w:space="0"/>
              <w:bottom w:val="single" w:color="auto" w:sz="4" w:space="0"/>
              <w:right w:val="single" w:color="auto" w:sz="4" w:space="0"/>
            </w:tcBorders>
            <w:noWrap w:val="0"/>
            <w:vAlign w:val="center"/>
          </w:tcPr>
          <w:p w14:paraId="3EB7FFF3">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单体分子筛选</w:t>
            </w:r>
          </w:p>
        </w:tc>
        <w:tc>
          <w:tcPr>
            <w:tcW w:w="6242" w:type="dxa"/>
            <w:tcBorders>
              <w:top w:val="nil"/>
              <w:left w:val="nil"/>
              <w:bottom w:val="single" w:color="auto" w:sz="4" w:space="0"/>
              <w:right w:val="single" w:color="auto" w:sz="4" w:space="0"/>
            </w:tcBorders>
            <w:noWrap w:val="0"/>
            <w:vAlign w:val="center"/>
          </w:tcPr>
          <w:p w14:paraId="5DB34751">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利用BioTransformer 3.0工具，模拟人体肝脏代谢、肠道菌群代谢等途径，预测筛选出的单体分子可能产生的氧化、还原、水解等反应代谢产物，以此完善活性物质研究范围</w:t>
            </w:r>
          </w:p>
        </w:tc>
      </w:tr>
      <w:tr w14:paraId="3C1DEABE">
        <w:tblPrEx>
          <w:tblCellMar>
            <w:top w:w="0" w:type="dxa"/>
            <w:left w:w="108" w:type="dxa"/>
            <w:bottom w:w="0" w:type="dxa"/>
            <w:right w:w="108" w:type="dxa"/>
          </w:tblCellMar>
        </w:tblPrEx>
        <w:trPr>
          <w:trHeight w:val="284" w:hRule="atLeast"/>
          <w:jc w:val="center"/>
        </w:trPr>
        <w:tc>
          <w:tcPr>
            <w:tcW w:w="2280" w:type="dxa"/>
            <w:tcBorders>
              <w:top w:val="nil"/>
              <w:left w:val="single" w:color="auto" w:sz="4" w:space="0"/>
              <w:bottom w:val="single" w:color="auto" w:sz="4" w:space="0"/>
              <w:right w:val="single" w:color="auto" w:sz="4" w:space="0"/>
            </w:tcBorders>
            <w:noWrap w:val="0"/>
            <w:vAlign w:val="center"/>
          </w:tcPr>
          <w:p w14:paraId="58DA3E51">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代谢产物预测</w:t>
            </w:r>
            <w:bookmarkStart w:id="5" w:name="_GoBack"/>
            <w:bookmarkEnd w:id="5"/>
          </w:p>
        </w:tc>
        <w:tc>
          <w:tcPr>
            <w:tcW w:w="6242" w:type="dxa"/>
            <w:tcBorders>
              <w:top w:val="nil"/>
              <w:left w:val="nil"/>
              <w:bottom w:val="single" w:color="auto" w:sz="4" w:space="0"/>
              <w:right w:val="single" w:color="auto" w:sz="4" w:space="0"/>
            </w:tcBorders>
            <w:noWrap w:val="0"/>
            <w:vAlign w:val="center"/>
          </w:tcPr>
          <w:p w14:paraId="422AF86E">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依托TCMSP数据库，筛选当归补血汤中符合口服生物利用度（OB）、类药性（DL）等药代动力学参数的单体分子，明确黄芪、当归中的潜在活性基础物质并形成初始物质清单</w:t>
            </w:r>
          </w:p>
        </w:tc>
      </w:tr>
      <w:tr w14:paraId="7A174B33">
        <w:tblPrEx>
          <w:tblCellMar>
            <w:top w:w="0" w:type="dxa"/>
            <w:left w:w="108" w:type="dxa"/>
            <w:bottom w:w="0" w:type="dxa"/>
            <w:right w:w="108" w:type="dxa"/>
          </w:tblCellMar>
        </w:tblPrEx>
        <w:trPr>
          <w:trHeight w:val="284" w:hRule="atLeast"/>
          <w:jc w:val="center"/>
        </w:trPr>
        <w:tc>
          <w:tcPr>
            <w:tcW w:w="2280" w:type="dxa"/>
            <w:tcBorders>
              <w:top w:val="nil"/>
              <w:left w:val="single" w:color="auto" w:sz="4" w:space="0"/>
              <w:bottom w:val="single" w:color="auto" w:sz="4" w:space="0"/>
              <w:right w:val="single" w:color="auto" w:sz="4" w:space="0"/>
            </w:tcBorders>
            <w:noWrap w:val="0"/>
            <w:vAlign w:val="center"/>
          </w:tcPr>
          <w:p w14:paraId="30A6C186">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潜在靶点预测</w:t>
            </w:r>
          </w:p>
        </w:tc>
        <w:tc>
          <w:tcPr>
            <w:tcW w:w="6242" w:type="dxa"/>
            <w:tcBorders>
              <w:top w:val="nil"/>
              <w:left w:val="nil"/>
              <w:bottom w:val="single" w:color="auto" w:sz="4" w:space="0"/>
              <w:right w:val="single" w:color="auto" w:sz="4" w:space="0"/>
            </w:tcBorders>
            <w:noWrap w:val="0"/>
            <w:vAlign w:val="center"/>
          </w:tcPr>
          <w:p w14:paraId="0A85AD20">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将单体分子及代谢产物的 SMILES 结构上传至 SwissTargetPrediction 在线平台，设定物种为 “人类”，获取各物质对应的潜在靶点（如蛋白、酶、受体）；同时结合 DisGeNET、OMIM 等疾病数据库，筛选出与肝纤维化直接相关的靶点，建立 “物质 - 靶点 - 疾病” 关联表，形成《活性物质潜在靶点数据集》</w:t>
            </w:r>
          </w:p>
        </w:tc>
      </w:tr>
      <w:tr w14:paraId="3D7ACD45">
        <w:tblPrEx>
          <w:tblCellMar>
            <w:top w:w="0" w:type="dxa"/>
            <w:left w:w="108" w:type="dxa"/>
            <w:bottom w:w="0" w:type="dxa"/>
            <w:right w:w="108" w:type="dxa"/>
          </w:tblCellMar>
        </w:tblPrEx>
        <w:trPr>
          <w:trHeight w:val="284" w:hRule="atLeast"/>
          <w:jc w:val="center"/>
        </w:trPr>
        <w:tc>
          <w:tcPr>
            <w:tcW w:w="2280" w:type="dxa"/>
            <w:tcBorders>
              <w:top w:val="nil"/>
              <w:left w:val="single" w:color="auto" w:sz="4" w:space="0"/>
              <w:bottom w:val="single" w:color="auto" w:sz="4" w:space="0"/>
              <w:right w:val="single" w:color="auto" w:sz="4" w:space="0"/>
            </w:tcBorders>
            <w:noWrap w:val="0"/>
            <w:vAlign w:val="center"/>
          </w:tcPr>
          <w:p w14:paraId="16C2E882">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单细胞测序</w:t>
            </w:r>
          </w:p>
        </w:tc>
        <w:tc>
          <w:tcPr>
            <w:tcW w:w="6242" w:type="dxa"/>
            <w:tcBorders>
              <w:top w:val="nil"/>
              <w:left w:val="nil"/>
              <w:bottom w:val="single" w:color="auto" w:sz="4" w:space="0"/>
              <w:right w:val="single" w:color="auto" w:sz="4" w:space="0"/>
            </w:tcBorders>
            <w:noWrap w:val="0"/>
            <w:vAlign w:val="center"/>
          </w:tcPr>
          <w:p w14:paraId="0574D922">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投标公司需要满足以下BD 技术平台即 BD Rhapsody 系列单细胞分析平台，其技术参数：</w:t>
            </w:r>
          </w:p>
          <w:p w14:paraId="1A9C8993">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细胞捕获技术：基于微孔板的自然沉降技术，利用 Cytoseq 蜂窝板，微孔数量达 20 万 +，细胞落入微孔后，铺上过量磁珠，形成 “磁珠 - 细胞 - 反应试剂” 体系。</w:t>
            </w:r>
          </w:p>
          <w:p w14:paraId="1BC9DB5B">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捕获效率bdbiosciences.com：部分细胞类型可达 80%。</w:t>
            </w:r>
          </w:p>
          <w:p w14:paraId="70BE5361">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多细胞比率：捕获 1K 个细胞时多细胞比率约为 0.2%，捕获 10K 个细胞时多细胞比率约为 2.4%。</w:t>
            </w:r>
          </w:p>
          <w:p w14:paraId="7B400BDA">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检测通量bdbiosciences.com：BD Rhapsody™ HT Xpress 每个微孔板可捕获超过 320,000 个细胞，每个样本通道可上样 100-440,000 个细胞，配套的微孔板有 8 个样本通道，叠加样本标签，一块微孔板最多可同时上样 192 个样本。</w:t>
            </w:r>
          </w:p>
          <w:p w14:paraId="43F9723F">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基因检测范围：可进行靶向转录组检测，也可定制特定基因组合，同时能进行全转录组检测。</w:t>
            </w:r>
          </w:p>
          <w:p w14:paraId="29C9B369">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分子标签：细胞标签有 88 万个序列标签，基因标签有 750 万个基因标签。</w:t>
            </w:r>
          </w:p>
          <w:p w14:paraId="4F37C3C3">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蛋白检测能力：可通过 AbSeq 抗体进行单细胞表面蛋白检测，目前可提供的检测抗体已达≥100 余种，至少可同时检测＞40 种蛋白质。</w:t>
            </w:r>
          </w:p>
          <w:p w14:paraId="78550DFF">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样本要求：细胞直径＜40μm，细胞活性＞60%，细胞总量＞20 万；新鲜样品碎冰运输，冻存样品干冰运输。</w:t>
            </w:r>
          </w:p>
          <w:p w14:paraId="766BFC6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数据保存：完整 cDNA 可在磁珠微球结构中 4℃保存长达 16 周。</w:t>
            </w:r>
          </w:p>
        </w:tc>
      </w:tr>
      <w:tr w14:paraId="229F4405">
        <w:tblPrEx>
          <w:tblCellMar>
            <w:top w:w="0" w:type="dxa"/>
            <w:left w:w="108" w:type="dxa"/>
            <w:bottom w:w="0" w:type="dxa"/>
            <w:right w:w="108" w:type="dxa"/>
          </w:tblCellMar>
        </w:tblPrEx>
        <w:trPr>
          <w:trHeight w:val="284" w:hRule="atLeast"/>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14:paraId="5F6EE5A0">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肝纤维化类器官构建</w:t>
            </w:r>
          </w:p>
        </w:tc>
        <w:tc>
          <w:tcPr>
            <w:tcW w:w="6242" w:type="dxa"/>
            <w:tcBorders>
              <w:top w:val="single" w:color="auto" w:sz="4" w:space="0"/>
              <w:left w:val="nil"/>
              <w:bottom w:val="single" w:color="auto" w:sz="4" w:space="0"/>
              <w:right w:val="single" w:color="auto" w:sz="4" w:space="0"/>
            </w:tcBorders>
            <w:noWrap w:val="0"/>
            <w:vAlign w:val="center"/>
          </w:tcPr>
          <w:p w14:paraId="6A049FC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1、细胞来源要求</w:t>
            </w:r>
          </w:p>
          <w:p w14:paraId="563E1799">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主要功能细胞：需使用原代肝细胞或多能干细胞（如 iPSC、ESC）诱导分化的肝细胞，细胞活率需≥90%，且表达白蛋白（ALB）、细胞色素 P450 酶等肝细胞特异性标志物。</w:t>
            </w:r>
          </w:p>
          <w:p w14:paraId="6ABDD968">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纤维化相关细胞：需引入肝星状细胞（HSC）、肝窦内皮细胞（LSEC）及枯否细胞（KCs），其中 HSC 需具备活化潜能，可通过表达 α- 平滑肌肌动蛋白（α-SMA）验证。</w:t>
            </w:r>
          </w:p>
          <w:p w14:paraId="6D1A2398">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pict>
                <v:rect id="_x0000_i1027" o:spt="1" style="height:0.05pt;width:0.05pt;" fillcolor="#000000" filled="t" stroked="f" coordsize="21600,21600" o:hr="t" o:hrstd="t" o:hrnoshade="t" o:hralign="center">
                  <v:path/>
                  <v:fill on="t" focussize="0,0"/>
                  <v:stroke on="f"/>
                  <v:imagedata o:title=""/>
                  <o:lock v:ext="edit"/>
                  <w10:wrap type="none"/>
                  <w10:anchorlock/>
                </v:rect>
              </w:pict>
            </w:r>
          </w:p>
          <w:p w14:paraId="3960F449">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2、培养体系要求</w:t>
            </w:r>
          </w:p>
          <w:p w14:paraId="6948B117">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基础培养基：常用 William's E 培养基或 DMEM/F12 培养基，需添加 10%-15% 胎牛血清（FBS，需筛选无内毒素批次）或无血清替代物（如 B27、N2）。</w:t>
            </w:r>
          </w:p>
          <w:p w14:paraId="69A04F86">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关键细胞因子：需添加肝细胞生长因子（HGF）、表皮生长因子（EGF）维持肝细胞功能；添加转化生长因子 -β1（TGF-β1）、血小板衍生生长因子（PDGF）诱导 HSC 活化，触发纤维化。</w:t>
            </w:r>
          </w:p>
          <w:p w14:paraId="5AA688D3">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支架材料：需使用三维支架模拟细胞外基质（ECM），常用 Matrigel 基质胶、胶原蛋白 I 型或合成水凝胶，支架孔径需控制在 50-200μm，保证细胞浸润与营养交换。</w:t>
            </w:r>
          </w:p>
          <w:p w14:paraId="5FB2097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pict>
                <v:rect id="_x0000_i1028" o:spt="1" style="height:0.05pt;width:0.05pt;" fillcolor="#000000" filled="t" stroked="f" coordsize="21600,21600" o:hr="t" o:hrstd="t" o:hrnoshade="t" o:hralign="center">
                  <v:path/>
                  <v:fill on="t" focussize="0,0"/>
                  <v:stroke on="f"/>
                  <v:imagedata o:title=""/>
                  <o:lock v:ext="edit"/>
                  <w10:wrap type="none"/>
                  <w10:anchorlock/>
                </v:rect>
              </w:pict>
            </w:r>
          </w:p>
          <w:p w14:paraId="3D9D2D2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3、实验操作要求</w:t>
            </w:r>
          </w:p>
          <w:p w14:paraId="3DE12E6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无菌环境：所有操作需在生物安全柜内进行，培养基、试剂及耗材需提前灭菌或无菌处理，避免细菌、真菌或支原体污染。</w:t>
            </w:r>
          </w:p>
          <w:p w14:paraId="6D31EC9C">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细胞接种：采用悬浮培养或支架包埋法接种，细胞密度需优化（通常为 1×10⁵-5×10⁵个 /mL），确保细胞均匀分布并形成类器官球体（直径控制在 100-300μm）。</w:t>
            </w:r>
          </w:p>
          <w:p w14:paraId="00C3E672">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培养条件：需在 37℃、5% CO₂的恒温培养箱中培养，每 2-3 天更换一次培养基，根据类器官生长状态调整培养时间（通常为 7-14 天）。</w:t>
            </w:r>
          </w:p>
          <w:p w14:paraId="2326C38A">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pict>
                <v:rect id="_x0000_i1029" o:spt="1" style="height:0.05pt;width:0.05pt;" fillcolor="#000000" filled="t" stroked="f" coordsize="21600,21600" o:hr="t" o:hrstd="t" o:hrnoshade="t" o:hralign="center">
                  <v:path/>
                  <v:fill on="t" focussize="0,0"/>
                  <v:stroke on="f"/>
                  <v:imagedata o:title=""/>
                  <o:lock v:ext="edit"/>
                  <w10:wrap type="none"/>
                  <w10:anchorlock/>
                </v:rect>
              </w:pict>
            </w:r>
          </w:p>
          <w:p w14:paraId="4043391D">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4、鉴定与质控要求</w:t>
            </w:r>
          </w:p>
          <w:p w14:paraId="69393E64">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形态学鉴定：通过光学显微镜观察类器官球体完整性，纤维化诱导后需出现细胞外基质沉积的致密结构，可通过苏木精 - 伊红（HE）染色观察组织学形态。</w:t>
            </w:r>
          </w:p>
          <w:p w14:paraId="7838AC62">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功能鉴定：检测肝细胞功能，包括白蛋白分泌量（需≥5μg/10⁶细胞 / 24h）、尿素合成能力及 CYP450 酶活性，确保类器官具备正常肝脏代谢功能。</w:t>
            </w:r>
          </w:p>
          <w:p w14:paraId="2FF235AE">
            <w:pPr>
              <w:shd w:val="clear" w:color="auto" w:fill="FFFFFF"/>
              <w:tabs>
                <w:tab w:val="left" w:pos="720"/>
                <w:tab w:val="left" w:pos="900"/>
              </w:tabs>
              <w:adjustRightInd w:val="0"/>
              <w:snapToGrid w:val="0"/>
              <w:spacing w:line="560" w:lineRule="exac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纤维化表型鉴定：通过免疫荧光染色检测 α-SMA（HSC 活化标志物）、胶原 I/III（细胞外基质成分）的表达；通过实时荧光定量 PCR（qPCR）检测 TGF-β1、COL1A1 等纤维化相关基因的表达上调情况。</w:t>
            </w:r>
          </w:p>
        </w:tc>
      </w:tr>
    </w:tbl>
    <w:p w14:paraId="00C1C346">
      <w:pPr>
        <w:pStyle w:val="6"/>
        <w:numPr>
          <w:ilvl w:val="0"/>
          <w:numId w:val="0"/>
        </w:numPr>
        <w:rPr>
          <w:rFonts w:hint="default" w:ascii="仿宋_GB2312" w:hAnsi="仿宋_GB2312" w:eastAsia="仿宋_GB2312" w:cs="仿宋_GB2312"/>
          <w:kern w:val="2"/>
          <w:sz w:val="32"/>
          <w:szCs w:val="32"/>
          <w:shd w:val="clear" w:color="auto" w:fill="FFFFFF"/>
          <w:lang w:val="en-US" w:eastAsia="zh-CN" w:bidi="ar-SA"/>
        </w:rPr>
      </w:pPr>
      <w:r>
        <w:rPr>
          <w:rFonts w:hint="eastAsia" w:ascii="Times New Roman" w:eastAsia="黑体" w:cs="Times New Roman"/>
          <w:sz w:val="32"/>
          <w:szCs w:val="32"/>
          <w:shd w:val="clear" w:color="auto" w:fill="FFFFFF"/>
          <w:lang w:val="en-US" w:eastAsia="zh-CN"/>
        </w:rPr>
        <w:t>★</w:t>
      </w:r>
      <w:r>
        <w:rPr>
          <w:rFonts w:hint="eastAsia" w:ascii="仿宋_GB2312" w:hAnsi="仿宋_GB2312" w:eastAsia="仿宋_GB2312" w:cs="仿宋_GB2312"/>
          <w:kern w:val="2"/>
          <w:sz w:val="32"/>
          <w:szCs w:val="32"/>
          <w:shd w:val="clear" w:color="auto" w:fill="FFFFFF"/>
          <w:lang w:val="en-US" w:eastAsia="zh-CN" w:bidi="ar-SA"/>
        </w:rPr>
        <w:t>4.在项目实施过程中要保证相关技术文档的完整性，并根据采购人要求进行严格实施项目的各个部分、阶段编写相关的技术文档，包括但不限于项目实施方案、技术设计书、元数据表、数据质量检查与评价报告、项目工作总结报告、项目技术总结报告（电子版、纸质版各一套）。</w:t>
      </w:r>
    </w:p>
    <w:p w14:paraId="006E0E53">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3B3F72B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1.服务期限：自合同签订之日起</w:t>
      </w:r>
      <w:r>
        <w:rPr>
          <w:rFonts w:hint="eastAsia" w:hAnsi="仿宋_GB2312" w:cs="仿宋_GB2312"/>
          <w:sz w:val="32"/>
          <w:szCs w:val="32"/>
          <w:shd w:val="clear" w:color="auto" w:fill="FFFFFF"/>
          <w:lang w:val="en-US" w:eastAsia="zh-CN"/>
        </w:rPr>
        <w:t>30日内完成</w:t>
      </w:r>
      <w:r>
        <w:rPr>
          <w:rFonts w:hint="eastAsia" w:ascii="仿宋_GB2312" w:hAnsi="仿宋_GB2312" w:eastAsia="仿宋_GB2312" w:cs="仿宋_GB2312"/>
          <w:sz w:val="32"/>
          <w:szCs w:val="32"/>
          <w:shd w:val="clear" w:color="auto" w:fill="FFFFFF"/>
          <w:lang w:val="en-US" w:eastAsia="zh-CN"/>
        </w:rPr>
        <w:t>。</w:t>
      </w:r>
    </w:p>
    <w:p w14:paraId="03D8A4B4">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lang w:val="en-US" w:eastAsia="zh-CN"/>
        </w:rPr>
        <w:t>.付款方式：合同签订后，按医院付款流程支付。</w:t>
      </w:r>
    </w:p>
    <w:p w14:paraId="5FCF3BEC">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lang w:val="en-US" w:eastAsia="zh-CN"/>
        </w:rPr>
        <w:t>.服务地点：成都市中西医结合医院南区。</w:t>
      </w:r>
    </w:p>
    <w:p w14:paraId="45704236">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val="en-US" w:eastAsia="zh-CN"/>
        </w:rPr>
        <w:t>.验收要求：</w:t>
      </w:r>
      <w:r>
        <w:rPr>
          <w:rFonts w:hint="eastAsia" w:hAnsi="仿宋_GB2312" w:cs="仿宋_GB2312"/>
          <w:sz w:val="32"/>
          <w:szCs w:val="32"/>
          <w:shd w:val="clear" w:color="auto" w:fill="FFFFFF"/>
          <w:lang w:val="en-US" w:eastAsia="zh-CN"/>
        </w:rPr>
        <w:t>按照</w:t>
      </w:r>
      <w:r>
        <w:rPr>
          <w:rFonts w:hint="eastAsia" w:ascii="仿宋_GB2312" w:hAnsi="仿宋_GB2312" w:eastAsia="仿宋_GB2312" w:cs="仿宋_GB2312"/>
          <w:sz w:val="32"/>
          <w:szCs w:val="32"/>
          <w:shd w:val="clear" w:color="auto" w:fill="FFFFFF"/>
          <w:lang w:val="en-US" w:eastAsia="zh-CN"/>
        </w:rPr>
        <w:t>相关法律法规的要求进行履约验收。</w:t>
      </w:r>
    </w:p>
    <w:p w14:paraId="2CE8BCAF">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eastAsia" w:ascii="Times New Roman" w:cs="Times New Roman"/>
          <w:sz w:val="32"/>
          <w:szCs w:val="32"/>
          <w:shd w:val="clear" w:color="auto" w:fill="FFFFFF"/>
        </w:rPr>
        <w:t>注：本章中标注“★”的条款为实质性要求，未响应或不满足，按无效响应处理。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B2D98A-D0EA-40E4-BDE2-C849E884AA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31B175E-A2D5-4C0C-95E6-0C49D0D436F4}"/>
  </w:font>
  <w:font w:name="仿宋_GB2312">
    <w:altName w:val="仿宋"/>
    <w:panose1 w:val="02010609030101010101"/>
    <w:charset w:val="86"/>
    <w:family w:val="modern"/>
    <w:pitch w:val="default"/>
    <w:sig w:usb0="00000000" w:usb1="00000000" w:usb2="00000000" w:usb3="00000000" w:csb0="00040000" w:csb1="00000000"/>
    <w:embedRegular r:id="rId3" w:fontKey="{0E0B4D7F-307E-4D98-84EC-5B5C374BB475}"/>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816599DF-145F-4E00-A3D4-6C007999906B}"/>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embedRegular r:id="rId5" w:fontKey="{7A34520A-83FE-486F-B75C-05BD23AC93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3933030F"/>
    <w:rsid w:val="3BD63F9B"/>
    <w:rsid w:val="48A56F3E"/>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next w:val="5"/>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1102</Words>
  <Characters>1265</Characters>
  <Lines>0</Lines>
  <Paragraphs>0</Paragraphs>
  <TotalTime>0</TotalTime>
  <ScaleCrop>false</ScaleCrop>
  <LinksUpToDate>false</LinksUpToDate>
  <CharactersWithSpaces>1276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2025-11-04T06:23:24Z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