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2588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3415F78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1388340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default" w:ascii="Times New Roman" w:hAnsi="Times New Roman" w:cs="Times New Roman"/>
          <w:sz w:val="32"/>
          <w:szCs w:val="32"/>
          <w:shd w:val="clear" w:color="auto" w:fill="FFFFFF"/>
        </w:rPr>
        <w:t>本次采购</w:t>
      </w:r>
      <w:r>
        <w:rPr>
          <w:rFonts w:hint="default" w:ascii="Times New Roman" w:hAnsi="Times New Roman" w:cs="Times New Roman"/>
          <w:sz w:val="32"/>
          <w:szCs w:val="32"/>
          <w:u w:val="none"/>
          <w:shd w:val="clear" w:color="auto" w:fill="FFFFFF"/>
        </w:rPr>
        <w:t>共1个项目</w:t>
      </w:r>
      <w:r>
        <w:rPr>
          <w:rFonts w:hint="eastAsia" w:ascii="仿宋_GB2312" w:hAnsi="仿宋_GB2312" w:eastAsia="仿宋_GB2312" w:cs="仿宋_GB2312"/>
          <w:sz w:val="32"/>
          <w:szCs w:val="32"/>
          <w:shd w:val="clear" w:color="auto" w:fill="FFFFFF"/>
          <w:lang w:val="en-US" w:eastAsia="zh-CN"/>
        </w:rPr>
        <w:t>，采购</w:t>
      </w:r>
      <w:r>
        <w:rPr>
          <w:rFonts w:hint="eastAsia" w:ascii="Times New Roman" w:cs="Times New Roman"/>
          <w:sz w:val="32"/>
          <w:szCs w:val="32"/>
          <w:shd w:val="clear" w:color="auto" w:fill="FFFFFF"/>
          <w:lang w:eastAsia="zh-CN"/>
        </w:rPr>
        <w:t>化学试剂安全柜采购项目</w:t>
      </w:r>
      <w:r>
        <w:rPr>
          <w:rFonts w:hint="eastAsia" w:ascii="仿宋_GB2312" w:hAnsi="仿宋_GB2312" w:eastAsia="仿宋_GB2312" w:cs="仿宋_GB2312"/>
          <w:sz w:val="32"/>
          <w:szCs w:val="32"/>
          <w:shd w:val="clear" w:color="auto" w:fill="FFFFFF"/>
          <w:lang w:val="en-US" w:eastAsia="zh-CN"/>
        </w:rPr>
        <w:t>，预算金额</w:t>
      </w:r>
      <w:r>
        <w:rPr>
          <w:rFonts w:hint="eastAsia" w:hAnsi="仿宋_GB2312" w:cs="仿宋_GB2312"/>
          <w:sz w:val="32"/>
          <w:szCs w:val="32"/>
          <w:u w:val="none"/>
          <w:shd w:val="clear" w:color="auto" w:fill="FFFFFF"/>
          <w:lang w:val="en-US" w:eastAsia="zh-CN"/>
        </w:rPr>
        <w:t>1.37</w:t>
      </w:r>
      <w:r>
        <w:rPr>
          <w:rFonts w:hint="eastAsia" w:ascii="仿宋_GB2312" w:hAnsi="仿宋_GB2312" w:eastAsia="仿宋_GB2312" w:cs="仿宋_GB2312"/>
          <w:sz w:val="32"/>
          <w:szCs w:val="32"/>
          <w:u w:val="none"/>
          <w:shd w:val="clear" w:color="auto" w:fill="FFFFFF"/>
          <w:lang w:val="en-US" w:eastAsia="zh-CN"/>
        </w:rPr>
        <w:t>万元。</w:t>
      </w:r>
    </w:p>
    <w:tbl>
      <w:tblPr>
        <w:tblStyle w:val="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27CC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noWrap w:val="0"/>
            <w:vAlign w:val="center"/>
          </w:tcPr>
          <w:p w14:paraId="57FA4B5D">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项目号</w:t>
            </w:r>
          </w:p>
        </w:tc>
        <w:tc>
          <w:tcPr>
            <w:tcW w:w="3352" w:type="dxa"/>
            <w:noWrap w:val="0"/>
            <w:vAlign w:val="center"/>
          </w:tcPr>
          <w:p w14:paraId="3B63C2D9">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680" w:type="dxa"/>
            <w:noWrap w:val="0"/>
            <w:vAlign w:val="center"/>
          </w:tcPr>
          <w:p w14:paraId="32C6B332">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w:t>
            </w:r>
            <w:r>
              <w:rPr>
                <w:rFonts w:hint="eastAsia" w:ascii="Times New Roman" w:cs="Times New Roman"/>
                <w:b/>
                <w:sz w:val="28"/>
                <w:szCs w:val="28"/>
                <w:shd w:val="clear" w:color="auto" w:fill="FFFFFF"/>
                <w:lang w:val="en-US" w:eastAsia="zh-CN"/>
              </w:rPr>
              <w:t>批</w:t>
            </w:r>
            <w:r>
              <w:rPr>
                <w:rFonts w:hint="eastAsia" w:ascii="Times New Roman" w:cs="Times New Roman"/>
                <w:b/>
                <w:sz w:val="28"/>
                <w:szCs w:val="28"/>
                <w:shd w:val="clear" w:color="auto" w:fill="FFFFFF"/>
              </w:rPr>
              <w:t>）</w:t>
            </w:r>
          </w:p>
        </w:tc>
        <w:tc>
          <w:tcPr>
            <w:tcW w:w="2539" w:type="dxa"/>
            <w:noWrap w:val="0"/>
            <w:vAlign w:val="center"/>
          </w:tcPr>
          <w:p w14:paraId="22581612">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预算金额（万元）</w:t>
            </w:r>
          </w:p>
        </w:tc>
      </w:tr>
      <w:tr w14:paraId="09A4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noWrap w:val="0"/>
            <w:vAlign w:val="center"/>
          </w:tcPr>
          <w:p w14:paraId="4BD6ADBD">
            <w:pPr>
              <w:shd w:val="clear" w:color="auto" w:fill="FFFFFF"/>
              <w:tabs>
                <w:tab w:val="left" w:pos="720"/>
              </w:tabs>
              <w:snapToGrid w:val="0"/>
              <w:spacing w:line="400" w:lineRule="exact"/>
              <w:jc w:val="center"/>
              <w:rPr>
                <w:rFonts w:hint="eastAsia"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w:t>
            </w:r>
          </w:p>
        </w:tc>
        <w:tc>
          <w:tcPr>
            <w:tcW w:w="3352" w:type="dxa"/>
            <w:noWrap w:val="0"/>
            <w:vAlign w:val="center"/>
          </w:tcPr>
          <w:p w14:paraId="5AA467B3">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32"/>
                <w:szCs w:val="32"/>
                <w:shd w:val="clear" w:color="auto" w:fill="FFFFFF"/>
                <w:lang w:eastAsia="zh-CN"/>
              </w:rPr>
              <w:t>化学试剂安全柜</w:t>
            </w:r>
          </w:p>
        </w:tc>
        <w:tc>
          <w:tcPr>
            <w:tcW w:w="1680" w:type="dxa"/>
            <w:noWrap w:val="0"/>
            <w:vAlign w:val="center"/>
          </w:tcPr>
          <w:p w14:paraId="4C1977DE">
            <w:pPr>
              <w:jc w:val="center"/>
              <w:rPr>
                <w:rFonts w:hint="default" w:eastAsia="仿宋_GB2312"/>
                <w:lang w:val="en-US" w:eastAsia="zh-CN"/>
              </w:rPr>
            </w:pPr>
            <w:r>
              <w:rPr>
                <w:rFonts w:hint="eastAsia" w:ascii="Times New Roman" w:hAnsi="Times New Roman" w:cs="Times New Roman"/>
                <w:sz w:val="32"/>
                <w:szCs w:val="32"/>
                <w:shd w:val="clear" w:color="auto" w:fill="FFFFFF"/>
                <w:lang w:val="en-US" w:eastAsia="zh-CN"/>
              </w:rPr>
              <w:t>1</w:t>
            </w:r>
          </w:p>
        </w:tc>
        <w:tc>
          <w:tcPr>
            <w:tcW w:w="2539" w:type="dxa"/>
            <w:noWrap w:val="0"/>
            <w:vAlign w:val="center"/>
          </w:tcPr>
          <w:p w14:paraId="1B17AD54">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1.37</w:t>
            </w:r>
          </w:p>
        </w:tc>
      </w:tr>
    </w:tbl>
    <w:p w14:paraId="36B26EAB">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lang w:val="en-US" w:eastAsia="zh-CN"/>
        </w:rPr>
        <w:t>二</w:t>
      </w:r>
      <w:r>
        <w:rPr>
          <w:rFonts w:ascii="Times New Roman" w:eastAsia="黑体" w:cs="Times New Roman"/>
          <w:sz w:val="32"/>
          <w:szCs w:val="32"/>
          <w:shd w:val="clear" w:color="auto" w:fill="FFFFFF"/>
        </w:rPr>
        <w:t>、技术要求</w:t>
      </w:r>
    </w:p>
    <w:p w14:paraId="18D1AEE5">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1.全柜：双层钢板，内为≥38mm的绝缘空间，采用≥1.0mm冷轧钢板，环氧树脂喷涂，底部设计防泄露门槛。</w:t>
      </w:r>
    </w:p>
    <w:p w14:paraId="7130360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2.层板：防腐蚀防液漏，层板具有≥150kg承重力，根据容量按需配置相应数量层板，隔板可拆卸，隔板安装位置可调节。</w:t>
      </w:r>
    </w:p>
    <w:p w14:paraId="4CD1C528">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3.柜槽：蓄液槽高度≥50mm。</w:t>
      </w:r>
    </w:p>
    <w:p w14:paraId="223CFCB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4.颜色：黄色</w:t>
      </w:r>
    </w:p>
    <w:p w14:paraId="4527620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5.柜锁：三点联动式门锁，180度启闭的柜门。</w:t>
      </w:r>
    </w:p>
    <w:p w14:paraId="573C2F95">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6.防静电设备：设有外接静电接地线。</w:t>
      </w:r>
    </w:p>
    <w:p w14:paraId="5F4CF7F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7.检测报告：投标产品需具有防爆检测、耐火检测。</w:t>
      </w:r>
      <w:r>
        <w:rPr>
          <w:rFonts w:hint="eastAsia" w:ascii="仿宋_GB2312" w:hAnsi="仿宋_GB2312" w:eastAsia="仿宋_GB2312" w:cs="仿宋_GB2312"/>
          <w:b/>
          <w:bCs/>
          <w:sz w:val="32"/>
          <w:szCs w:val="32"/>
          <w:shd w:val="clear" w:color="auto" w:fill="FFFFFF"/>
          <w:lang w:val="en-US" w:eastAsia="zh-CN"/>
        </w:rPr>
        <w:t>（提供第三方检测机构出具的检测报告复印件，加盖投标人公章）</w:t>
      </w:r>
    </w:p>
    <w:p w14:paraId="376E0DA8">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b w:val="0"/>
          <w:bCs w:val="0"/>
          <w:sz w:val="32"/>
          <w:szCs w:val="32"/>
          <w:shd w:val="clear" w:color="auto" w:fill="FFFFFF"/>
          <w:lang w:val="en-US" w:eastAsia="zh-CN"/>
        </w:rPr>
      </w:pPr>
      <w:r>
        <w:rPr>
          <w:rFonts w:hint="eastAsia" w:hAnsi="仿宋_GB2312" w:cs="仿宋_GB2312"/>
          <w:b w:val="0"/>
          <w:bCs w:val="0"/>
          <w:sz w:val="32"/>
          <w:szCs w:val="32"/>
          <w:shd w:val="clear" w:color="auto" w:fill="FFFFFF"/>
          <w:lang w:val="en-US" w:eastAsia="zh-CN"/>
        </w:rPr>
        <w:t>8.产品清单：</w:t>
      </w:r>
    </w:p>
    <w:tbl>
      <w:tblPr>
        <w:tblStyle w:val="7"/>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225"/>
        <w:gridCol w:w="1367"/>
        <w:gridCol w:w="1733"/>
        <w:gridCol w:w="1484"/>
        <w:gridCol w:w="1582"/>
      </w:tblGrid>
      <w:tr w14:paraId="6C78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92" w:type="dxa"/>
            <w:noWrap w:val="0"/>
            <w:vAlign w:val="center"/>
          </w:tcPr>
          <w:p w14:paraId="33480209">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序号</w:t>
            </w:r>
          </w:p>
        </w:tc>
        <w:tc>
          <w:tcPr>
            <w:tcW w:w="2225" w:type="dxa"/>
            <w:noWrap w:val="0"/>
            <w:vAlign w:val="center"/>
          </w:tcPr>
          <w:p w14:paraId="08FB0FDA">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货物</w:t>
            </w:r>
            <w:r>
              <w:rPr>
                <w:rFonts w:ascii="Times New Roman" w:cs="Times New Roman"/>
                <w:b/>
                <w:sz w:val="28"/>
                <w:szCs w:val="28"/>
                <w:shd w:val="clear" w:color="auto" w:fill="FFFFFF"/>
              </w:rPr>
              <w:t>名称</w:t>
            </w:r>
          </w:p>
        </w:tc>
        <w:tc>
          <w:tcPr>
            <w:tcW w:w="1367" w:type="dxa"/>
            <w:noWrap w:val="0"/>
            <w:vAlign w:val="center"/>
          </w:tcPr>
          <w:p w14:paraId="1FAC2A4E">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w:t>
            </w:r>
            <w:r>
              <w:rPr>
                <w:rFonts w:hint="eastAsia" w:ascii="Times New Roman" w:cs="Times New Roman"/>
                <w:b/>
                <w:sz w:val="28"/>
                <w:szCs w:val="28"/>
                <w:shd w:val="clear" w:color="auto" w:fill="FFFFFF"/>
                <w:lang w:val="en-US" w:eastAsia="zh-CN"/>
              </w:rPr>
              <w:t>个</w:t>
            </w:r>
            <w:r>
              <w:rPr>
                <w:rFonts w:hint="eastAsia" w:ascii="Times New Roman" w:cs="Times New Roman"/>
                <w:b/>
                <w:sz w:val="28"/>
                <w:szCs w:val="28"/>
                <w:shd w:val="clear" w:color="auto" w:fill="FFFFFF"/>
              </w:rPr>
              <w:t>）</w:t>
            </w:r>
          </w:p>
        </w:tc>
        <w:tc>
          <w:tcPr>
            <w:tcW w:w="1733" w:type="dxa"/>
            <w:noWrap w:val="0"/>
            <w:vAlign w:val="center"/>
          </w:tcPr>
          <w:p w14:paraId="72129FE2">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default" w:ascii="Times New Roman" w:eastAsia="仿宋_GB2312" w:cs="Times New Roman"/>
                <w:b/>
                <w:sz w:val="28"/>
                <w:szCs w:val="28"/>
                <w:shd w:val="clear" w:color="auto" w:fill="FFFFFF"/>
                <w:lang w:val="en-US" w:eastAsia="zh-CN"/>
              </w:rPr>
              <w:t>防爆柜规格</w:t>
            </w:r>
          </w:p>
          <w:p w14:paraId="2493CE48">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default" w:ascii="Times New Roman" w:eastAsia="仿宋_GB2312" w:cs="Times New Roman"/>
                <w:b/>
                <w:sz w:val="28"/>
                <w:szCs w:val="28"/>
                <w:shd w:val="clear" w:color="auto" w:fill="FFFFFF"/>
                <w:lang w:val="en-US" w:eastAsia="zh-CN"/>
              </w:rPr>
              <w:t>（加仑）</w:t>
            </w:r>
          </w:p>
        </w:tc>
        <w:tc>
          <w:tcPr>
            <w:tcW w:w="1484" w:type="dxa"/>
            <w:noWrap w:val="0"/>
            <w:vAlign w:val="center"/>
          </w:tcPr>
          <w:p w14:paraId="25B75DDF">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颜色</w:t>
            </w:r>
          </w:p>
        </w:tc>
        <w:tc>
          <w:tcPr>
            <w:tcW w:w="1582" w:type="dxa"/>
            <w:noWrap w:val="0"/>
            <w:vAlign w:val="center"/>
          </w:tcPr>
          <w:p w14:paraId="5ABD3A58">
            <w:pPr>
              <w:shd w:val="clear" w:color="auto" w:fill="FFFFFF"/>
              <w:tabs>
                <w:tab w:val="left" w:pos="720"/>
              </w:tabs>
              <w:snapToGrid w:val="0"/>
              <w:spacing w:line="400" w:lineRule="exact"/>
              <w:jc w:val="center"/>
              <w:rPr>
                <w:rFonts w:hint="default" w:ascii="Times New Roman"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单价限价（元）</w:t>
            </w:r>
          </w:p>
        </w:tc>
      </w:tr>
      <w:tr w14:paraId="6BBA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92" w:type="dxa"/>
            <w:noWrap w:val="0"/>
            <w:vAlign w:val="center"/>
          </w:tcPr>
          <w:p w14:paraId="157F8F8A">
            <w:pPr>
              <w:jc w:val="center"/>
              <w:rPr>
                <w:rFonts w:hint="eastAsia" w:ascii="Times New Roman" w:eastAsia="仿宋_GB2312"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1</w:t>
            </w:r>
          </w:p>
        </w:tc>
        <w:tc>
          <w:tcPr>
            <w:tcW w:w="2225" w:type="dxa"/>
            <w:noWrap w:val="0"/>
            <w:vAlign w:val="center"/>
          </w:tcPr>
          <w:p w14:paraId="4E6A6EAC">
            <w:pPr>
              <w:jc w:val="center"/>
              <w:rPr>
                <w:rFonts w:hint="eastAsia"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化学试剂安全柜</w:t>
            </w:r>
          </w:p>
        </w:tc>
        <w:tc>
          <w:tcPr>
            <w:tcW w:w="1367" w:type="dxa"/>
            <w:noWrap w:val="0"/>
            <w:vAlign w:val="center"/>
          </w:tcPr>
          <w:p w14:paraId="4A6CD70E">
            <w:pPr>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1</w:t>
            </w:r>
          </w:p>
        </w:tc>
        <w:tc>
          <w:tcPr>
            <w:tcW w:w="1733" w:type="dxa"/>
            <w:noWrap w:val="0"/>
            <w:vAlign w:val="center"/>
          </w:tcPr>
          <w:p w14:paraId="1624CCCB">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2</w:t>
            </w:r>
          </w:p>
        </w:tc>
        <w:tc>
          <w:tcPr>
            <w:tcW w:w="1484" w:type="dxa"/>
            <w:noWrap w:val="0"/>
            <w:vAlign w:val="center"/>
          </w:tcPr>
          <w:p w14:paraId="466595BC">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黄色</w:t>
            </w:r>
            <w:bookmarkStart w:id="0" w:name="_GoBack"/>
            <w:bookmarkEnd w:id="0"/>
          </w:p>
        </w:tc>
        <w:tc>
          <w:tcPr>
            <w:tcW w:w="1582" w:type="dxa"/>
            <w:noWrap w:val="0"/>
            <w:vAlign w:val="center"/>
          </w:tcPr>
          <w:p w14:paraId="392EAF9F">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100</w:t>
            </w:r>
          </w:p>
        </w:tc>
      </w:tr>
      <w:tr w14:paraId="1BC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92" w:type="dxa"/>
            <w:noWrap w:val="0"/>
            <w:vAlign w:val="center"/>
          </w:tcPr>
          <w:p w14:paraId="4E0C8A3B">
            <w:pPr>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2</w:t>
            </w:r>
          </w:p>
        </w:tc>
        <w:tc>
          <w:tcPr>
            <w:tcW w:w="2225" w:type="dxa"/>
            <w:noWrap w:val="0"/>
            <w:vAlign w:val="center"/>
          </w:tcPr>
          <w:p w14:paraId="68A601EC">
            <w:pPr>
              <w:jc w:val="center"/>
              <w:rPr>
                <w:rFonts w:hint="eastAsia"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化学试剂安全柜</w:t>
            </w:r>
          </w:p>
        </w:tc>
        <w:tc>
          <w:tcPr>
            <w:tcW w:w="1367" w:type="dxa"/>
            <w:noWrap w:val="0"/>
            <w:vAlign w:val="center"/>
          </w:tcPr>
          <w:p w14:paraId="4CD84098">
            <w:pPr>
              <w:jc w:val="center"/>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6</w:t>
            </w:r>
          </w:p>
        </w:tc>
        <w:tc>
          <w:tcPr>
            <w:tcW w:w="1733" w:type="dxa"/>
            <w:noWrap w:val="0"/>
            <w:vAlign w:val="center"/>
          </w:tcPr>
          <w:p w14:paraId="351BD6AF">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12</w:t>
            </w:r>
          </w:p>
        </w:tc>
        <w:tc>
          <w:tcPr>
            <w:tcW w:w="1484" w:type="dxa"/>
            <w:noWrap w:val="0"/>
            <w:vAlign w:val="center"/>
          </w:tcPr>
          <w:p w14:paraId="63FC859E">
            <w:pPr>
              <w:jc w:val="center"/>
              <w:rPr>
                <w:rFonts w:hint="eastAsia"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黄色</w:t>
            </w:r>
          </w:p>
        </w:tc>
        <w:tc>
          <w:tcPr>
            <w:tcW w:w="1582" w:type="dxa"/>
            <w:noWrap w:val="0"/>
            <w:vAlign w:val="center"/>
          </w:tcPr>
          <w:p w14:paraId="155629E8">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300</w:t>
            </w:r>
          </w:p>
        </w:tc>
      </w:tr>
      <w:tr w14:paraId="2809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92" w:type="dxa"/>
            <w:noWrap w:val="0"/>
            <w:vAlign w:val="center"/>
          </w:tcPr>
          <w:p w14:paraId="266A6C7F">
            <w:pPr>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3</w:t>
            </w:r>
          </w:p>
        </w:tc>
        <w:tc>
          <w:tcPr>
            <w:tcW w:w="2225" w:type="dxa"/>
            <w:noWrap w:val="0"/>
            <w:vAlign w:val="center"/>
          </w:tcPr>
          <w:p w14:paraId="42DB11B5">
            <w:pPr>
              <w:jc w:val="center"/>
              <w:rPr>
                <w:rFonts w:hint="eastAsia"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化学试剂安全柜</w:t>
            </w:r>
          </w:p>
        </w:tc>
        <w:tc>
          <w:tcPr>
            <w:tcW w:w="1367" w:type="dxa"/>
            <w:noWrap w:val="0"/>
            <w:vAlign w:val="center"/>
          </w:tcPr>
          <w:p w14:paraId="7258E052">
            <w:pPr>
              <w:jc w:val="center"/>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3</w:t>
            </w:r>
          </w:p>
        </w:tc>
        <w:tc>
          <w:tcPr>
            <w:tcW w:w="1733" w:type="dxa"/>
            <w:noWrap w:val="0"/>
            <w:vAlign w:val="center"/>
          </w:tcPr>
          <w:p w14:paraId="482E46EA">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22</w:t>
            </w:r>
          </w:p>
        </w:tc>
        <w:tc>
          <w:tcPr>
            <w:tcW w:w="1484" w:type="dxa"/>
            <w:noWrap w:val="0"/>
            <w:vAlign w:val="center"/>
          </w:tcPr>
          <w:p w14:paraId="1E3D5F4D">
            <w:pPr>
              <w:jc w:val="center"/>
              <w:rPr>
                <w:rFonts w:hint="eastAsia"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黄色</w:t>
            </w:r>
          </w:p>
        </w:tc>
        <w:tc>
          <w:tcPr>
            <w:tcW w:w="1582" w:type="dxa"/>
            <w:noWrap w:val="0"/>
            <w:vAlign w:val="center"/>
          </w:tcPr>
          <w:p w14:paraId="188E6A2D">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600</w:t>
            </w:r>
          </w:p>
        </w:tc>
      </w:tr>
      <w:tr w14:paraId="098C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92" w:type="dxa"/>
            <w:noWrap w:val="0"/>
            <w:vAlign w:val="center"/>
          </w:tcPr>
          <w:p w14:paraId="07E0AE7E">
            <w:pPr>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4</w:t>
            </w:r>
          </w:p>
        </w:tc>
        <w:tc>
          <w:tcPr>
            <w:tcW w:w="2225" w:type="dxa"/>
            <w:noWrap w:val="0"/>
            <w:vAlign w:val="center"/>
          </w:tcPr>
          <w:p w14:paraId="156DA353">
            <w:pPr>
              <w:jc w:val="center"/>
              <w:rPr>
                <w:rFonts w:hint="eastAsia"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化学试剂安全柜</w:t>
            </w:r>
          </w:p>
        </w:tc>
        <w:tc>
          <w:tcPr>
            <w:tcW w:w="1367" w:type="dxa"/>
            <w:noWrap w:val="0"/>
            <w:vAlign w:val="center"/>
          </w:tcPr>
          <w:p w14:paraId="16573982">
            <w:pPr>
              <w:jc w:val="center"/>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5</w:t>
            </w:r>
          </w:p>
        </w:tc>
        <w:tc>
          <w:tcPr>
            <w:tcW w:w="1733" w:type="dxa"/>
            <w:noWrap w:val="0"/>
            <w:vAlign w:val="center"/>
          </w:tcPr>
          <w:p w14:paraId="08D70F34">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115</w:t>
            </w:r>
          </w:p>
        </w:tc>
        <w:tc>
          <w:tcPr>
            <w:tcW w:w="1484" w:type="dxa"/>
            <w:noWrap w:val="0"/>
            <w:vAlign w:val="center"/>
          </w:tcPr>
          <w:p w14:paraId="04426A35">
            <w:pPr>
              <w:jc w:val="center"/>
              <w:rPr>
                <w:rFonts w:hint="eastAsia"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黄色</w:t>
            </w:r>
          </w:p>
        </w:tc>
        <w:tc>
          <w:tcPr>
            <w:tcW w:w="1582" w:type="dxa"/>
            <w:noWrap w:val="0"/>
            <w:vAlign w:val="center"/>
          </w:tcPr>
          <w:p w14:paraId="25D1A651">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2000</w:t>
            </w:r>
          </w:p>
        </w:tc>
      </w:tr>
    </w:tbl>
    <w:p w14:paraId="6239E7DC">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b w:val="0"/>
          <w:bCs w:val="0"/>
          <w:sz w:val="32"/>
          <w:szCs w:val="32"/>
          <w:shd w:val="clear" w:color="auto" w:fill="FFFFFF"/>
          <w:lang w:val="en-US" w:eastAsia="zh-CN"/>
        </w:rPr>
      </w:pPr>
    </w:p>
    <w:p w14:paraId="52279021">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、商务要求</w:t>
      </w:r>
    </w:p>
    <w:p w14:paraId="25BFF66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1.服务期限：</w:t>
      </w:r>
      <w:r>
        <w:rPr>
          <w:rFonts w:hint="eastAsia" w:hAnsi="仿宋_GB2312" w:cs="仿宋_GB2312"/>
          <w:sz w:val="32"/>
          <w:szCs w:val="32"/>
          <w:shd w:val="clear" w:color="auto" w:fill="FFFFFF"/>
          <w:lang w:val="en-US" w:eastAsia="zh-CN"/>
        </w:rPr>
        <w:t>合同签订自采购人通知送货后 30 日内负责将货物运输到达采购人指定的安装地点交货并安装和验收完成。</w:t>
      </w:r>
    </w:p>
    <w:p w14:paraId="55C4DE0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2.报价：本项目预算1.37</w:t>
      </w:r>
      <w:r>
        <w:rPr>
          <w:rFonts w:hint="eastAsia" w:hAnsi="仿宋_GB2312" w:cs="仿宋_GB2312"/>
          <w:sz w:val="32"/>
          <w:szCs w:val="32"/>
          <w:shd w:val="clear" w:color="auto" w:fill="FFFFFF"/>
          <w:lang w:val="en-US" w:eastAsia="zh-CN"/>
        </w:rPr>
        <w:t>万元</w:t>
      </w:r>
      <w:r>
        <w:rPr>
          <w:rFonts w:hint="eastAsia" w:ascii="仿宋_GB2312" w:hAnsi="仿宋_GB2312" w:eastAsia="仿宋_GB2312" w:cs="仿宋_GB2312"/>
          <w:sz w:val="32"/>
          <w:szCs w:val="32"/>
          <w:shd w:val="clear" w:color="auto" w:fill="FFFFFF"/>
          <w:lang w:val="en-US" w:eastAsia="zh-CN"/>
        </w:rPr>
        <w:t>,报价超过采购预算，其比选申请文件按无效处理。</w:t>
      </w:r>
    </w:p>
    <w:p w14:paraId="70E78C4A">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3.付款方式：合同签订生效且收到</w:t>
      </w:r>
      <w:r>
        <w:rPr>
          <w:rFonts w:hint="eastAsia" w:hAnsi="仿宋_GB2312" w:cs="仿宋_GB2312"/>
          <w:sz w:val="32"/>
          <w:szCs w:val="32"/>
          <w:shd w:val="clear" w:color="auto" w:fill="FFFFFF"/>
          <w:lang w:val="en-US" w:eastAsia="zh-CN"/>
        </w:rPr>
        <w:t>供应商</w:t>
      </w:r>
      <w:r>
        <w:rPr>
          <w:rFonts w:hint="eastAsia" w:ascii="仿宋_GB2312" w:hAnsi="仿宋_GB2312" w:eastAsia="仿宋_GB2312" w:cs="仿宋_GB2312"/>
          <w:sz w:val="32"/>
          <w:szCs w:val="32"/>
          <w:shd w:val="clear" w:color="auto" w:fill="FFFFFF"/>
          <w:lang w:val="en-US" w:eastAsia="zh-CN"/>
        </w:rPr>
        <w:t>提供的合法有效票据及相关付款资料后10个工作日内支付合同金额30%，货到验收合格后且收到</w:t>
      </w:r>
      <w:r>
        <w:rPr>
          <w:rFonts w:hint="eastAsia" w:hAnsi="仿宋_GB2312" w:cs="仿宋_GB2312"/>
          <w:sz w:val="32"/>
          <w:szCs w:val="32"/>
          <w:shd w:val="clear" w:color="auto" w:fill="FFFFFF"/>
          <w:lang w:val="en-US" w:eastAsia="zh-CN"/>
        </w:rPr>
        <w:t>供应商</w:t>
      </w:r>
      <w:r>
        <w:rPr>
          <w:rFonts w:hint="eastAsia" w:ascii="仿宋_GB2312" w:hAnsi="仿宋_GB2312" w:eastAsia="仿宋_GB2312" w:cs="仿宋_GB2312"/>
          <w:sz w:val="32"/>
          <w:szCs w:val="32"/>
          <w:shd w:val="clear" w:color="auto" w:fill="FFFFFF"/>
          <w:lang w:val="en-US" w:eastAsia="zh-CN"/>
        </w:rPr>
        <w:t>开具的全额合法增值税普通发票及相关付款资料10个工作日内支付剩余款项。</w:t>
      </w:r>
    </w:p>
    <w:p w14:paraId="09F10B8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4.服务地点：成都市中西医结合医院。</w:t>
      </w:r>
    </w:p>
    <w:p w14:paraId="10DA1AC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5.验收要求：</w:t>
      </w:r>
      <w:r>
        <w:rPr>
          <w:rFonts w:hint="eastAsia" w:hAnsi="仿宋_GB2312" w:cs="仿宋_GB2312"/>
          <w:sz w:val="32"/>
          <w:szCs w:val="32"/>
          <w:shd w:val="clear" w:color="auto" w:fill="FFFFFF"/>
          <w:lang w:val="en-US" w:eastAsia="zh-CN"/>
        </w:rPr>
        <w:t>按照</w:t>
      </w:r>
      <w:r>
        <w:rPr>
          <w:rFonts w:hint="eastAsia" w:ascii="仿宋_GB2312" w:hAnsi="仿宋_GB2312" w:eastAsia="仿宋_GB2312" w:cs="仿宋_GB2312"/>
          <w:sz w:val="32"/>
          <w:szCs w:val="32"/>
          <w:shd w:val="clear" w:color="auto" w:fill="FFFFFF"/>
          <w:lang w:val="en-US" w:eastAsia="zh-CN"/>
        </w:rPr>
        <w:t>相关法律法规的要求进行履约验收。</w:t>
      </w:r>
    </w:p>
    <w:p w14:paraId="3C07FB9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lang w:val="en-US" w:eastAsia="zh-CN"/>
        </w:rPr>
        <w:t>、现场开箱检验：设备开箱验收在甲方的安装地点进行。在货物抵达甲方指定地点3日内，</w:t>
      </w:r>
      <w:r>
        <w:rPr>
          <w:rFonts w:hint="eastAsia" w:hAnsi="仿宋_GB2312" w:cs="仿宋_GB2312"/>
          <w:sz w:val="32"/>
          <w:szCs w:val="32"/>
          <w:shd w:val="clear" w:color="auto" w:fill="FFFFFF"/>
          <w:lang w:val="en-US" w:eastAsia="zh-CN"/>
        </w:rPr>
        <w:t>中选方</w:t>
      </w:r>
      <w:r>
        <w:rPr>
          <w:rFonts w:hint="eastAsia" w:ascii="仿宋_GB2312" w:hAnsi="仿宋_GB2312" w:eastAsia="仿宋_GB2312" w:cs="仿宋_GB2312"/>
          <w:sz w:val="32"/>
          <w:szCs w:val="32"/>
          <w:shd w:val="clear" w:color="auto" w:fill="FFFFFF"/>
          <w:lang w:val="en-US" w:eastAsia="zh-CN"/>
        </w:rPr>
        <w:t>人员应抵达</w:t>
      </w:r>
      <w:r>
        <w:rPr>
          <w:rFonts w:hint="eastAsia" w:hAnsi="仿宋_GB2312" w:cs="仿宋_GB2312"/>
          <w:sz w:val="32"/>
          <w:szCs w:val="32"/>
          <w:shd w:val="clear" w:color="auto" w:fill="FFFFFF"/>
          <w:lang w:val="en-US" w:eastAsia="zh-CN"/>
        </w:rPr>
        <w:t>采购人</w:t>
      </w:r>
      <w:r>
        <w:rPr>
          <w:rFonts w:hint="eastAsia" w:ascii="仿宋_GB2312" w:hAnsi="仿宋_GB2312" w:eastAsia="仿宋_GB2312" w:cs="仿宋_GB2312"/>
          <w:sz w:val="32"/>
          <w:szCs w:val="32"/>
          <w:shd w:val="clear" w:color="auto" w:fill="FFFFFF"/>
          <w:lang w:val="en-US" w:eastAsia="zh-CN"/>
        </w:rPr>
        <w:t>指定地点通知</w:t>
      </w:r>
      <w:r>
        <w:rPr>
          <w:rFonts w:hint="eastAsia" w:hAnsi="仿宋_GB2312" w:cs="仿宋_GB2312"/>
          <w:sz w:val="32"/>
          <w:szCs w:val="32"/>
          <w:shd w:val="clear" w:color="auto" w:fill="FFFFFF"/>
          <w:lang w:val="en-US" w:eastAsia="zh-CN"/>
        </w:rPr>
        <w:t>采购人</w:t>
      </w:r>
      <w:r>
        <w:rPr>
          <w:rFonts w:hint="eastAsia" w:ascii="仿宋_GB2312" w:hAnsi="仿宋_GB2312" w:eastAsia="仿宋_GB2312" w:cs="仿宋_GB2312"/>
          <w:sz w:val="32"/>
          <w:szCs w:val="32"/>
          <w:shd w:val="clear" w:color="auto" w:fill="FFFFFF"/>
          <w:lang w:val="en-US" w:eastAsia="zh-CN"/>
        </w:rPr>
        <w:t>进行开箱验收。双方依据</w:t>
      </w:r>
      <w:r>
        <w:rPr>
          <w:rFonts w:hint="eastAsia" w:hAnsi="仿宋_GB2312" w:cs="仿宋_GB2312"/>
          <w:sz w:val="32"/>
          <w:szCs w:val="32"/>
          <w:shd w:val="clear" w:color="auto" w:fill="FFFFFF"/>
          <w:lang w:val="en-US" w:eastAsia="zh-CN"/>
        </w:rPr>
        <w:t>中选方</w:t>
      </w:r>
      <w:r>
        <w:rPr>
          <w:rFonts w:hint="eastAsia" w:ascii="仿宋_GB2312" w:hAnsi="仿宋_GB2312" w:eastAsia="仿宋_GB2312" w:cs="仿宋_GB2312"/>
          <w:sz w:val="32"/>
          <w:szCs w:val="32"/>
          <w:shd w:val="clear" w:color="auto" w:fill="FFFFFF"/>
          <w:lang w:val="en-US" w:eastAsia="zh-CN"/>
        </w:rPr>
        <w:t>提供的装箱单、检验合格证书、使用说明等有关资料，如有短缺、规格不符、资料不全等，由</w:t>
      </w:r>
      <w:r>
        <w:rPr>
          <w:rFonts w:hint="eastAsia" w:hAnsi="仿宋_GB2312" w:cs="仿宋_GB2312"/>
          <w:sz w:val="32"/>
          <w:szCs w:val="32"/>
          <w:shd w:val="clear" w:color="auto" w:fill="FFFFFF"/>
          <w:lang w:val="en-US" w:eastAsia="zh-CN"/>
        </w:rPr>
        <w:t>中选方</w:t>
      </w:r>
      <w:r>
        <w:rPr>
          <w:rFonts w:hint="eastAsia" w:ascii="仿宋_GB2312" w:hAnsi="仿宋_GB2312" w:eastAsia="仿宋_GB2312" w:cs="仿宋_GB2312"/>
          <w:sz w:val="32"/>
          <w:szCs w:val="32"/>
          <w:shd w:val="clear" w:color="auto" w:fill="FFFFFF"/>
          <w:lang w:val="en-US" w:eastAsia="zh-CN"/>
        </w:rPr>
        <w:t>在7日内无偿给予更换、补齐，并承担由此产生的全部费用。在开箱验收合格后，经双方代表签字予以确认。开箱验收时</w:t>
      </w:r>
      <w:r>
        <w:rPr>
          <w:rFonts w:hint="eastAsia" w:hAnsi="仿宋_GB2312" w:cs="仿宋_GB2312"/>
          <w:sz w:val="32"/>
          <w:szCs w:val="32"/>
          <w:shd w:val="clear" w:color="auto" w:fill="FFFFFF"/>
          <w:lang w:val="en-US" w:eastAsia="zh-CN"/>
        </w:rPr>
        <w:t>采购人</w:t>
      </w:r>
      <w:r>
        <w:rPr>
          <w:rFonts w:hint="eastAsia" w:ascii="仿宋_GB2312" w:hAnsi="仿宋_GB2312" w:eastAsia="仿宋_GB2312" w:cs="仿宋_GB2312"/>
          <w:sz w:val="32"/>
          <w:szCs w:val="32"/>
          <w:shd w:val="clear" w:color="auto" w:fill="FFFFFF"/>
          <w:lang w:val="en-US" w:eastAsia="zh-CN"/>
        </w:rPr>
        <w:t>有权对</w:t>
      </w:r>
      <w:r>
        <w:rPr>
          <w:rFonts w:hint="eastAsia" w:hAnsi="仿宋_GB2312" w:cs="仿宋_GB2312"/>
          <w:sz w:val="32"/>
          <w:szCs w:val="32"/>
          <w:shd w:val="clear" w:color="auto" w:fill="FFFFFF"/>
          <w:lang w:val="en-US" w:eastAsia="zh-CN"/>
        </w:rPr>
        <w:t>中选方</w:t>
      </w:r>
      <w:r>
        <w:rPr>
          <w:rFonts w:hint="eastAsia" w:ascii="仿宋_GB2312" w:hAnsi="仿宋_GB2312" w:eastAsia="仿宋_GB2312" w:cs="仿宋_GB2312"/>
          <w:sz w:val="32"/>
          <w:szCs w:val="32"/>
          <w:shd w:val="clear" w:color="auto" w:fill="FFFFFF"/>
          <w:lang w:val="en-US" w:eastAsia="zh-CN"/>
        </w:rPr>
        <w:t>投标文件所提供的技术参数进行检查及申请中国进出口商品检验局进行检测。</w:t>
      </w:r>
    </w:p>
    <w:p w14:paraId="1CA60305">
      <w:pPr>
        <w:shd w:val="clear" w:color="auto" w:fill="FFFFFF"/>
        <w:tabs>
          <w:tab w:val="left" w:pos="720"/>
          <w:tab w:val="left" w:pos="900"/>
        </w:tabs>
        <w:adjustRightInd w:val="0"/>
        <w:snapToGrid w:val="0"/>
        <w:spacing w:line="560" w:lineRule="exact"/>
        <w:ind w:firstLine="643" w:firstLineChars="200"/>
        <w:rPr>
          <w:rFonts w:hint="default" w:ascii="Times New Roman" w:hAnsi="Times New Roman" w:cs="Times New Roman"/>
          <w:sz w:val="32"/>
          <w:szCs w:val="32"/>
          <w:shd w:val="clear" w:color="auto" w:fill="FFFFFF"/>
          <w:lang w:val="en-US" w:eastAsia="zh-CN"/>
        </w:rPr>
      </w:pPr>
      <w:r>
        <w:rPr>
          <w:rFonts w:hint="eastAsia" w:ascii="Times New Roman" w:cs="Times New Roman"/>
          <w:b/>
          <w:bCs/>
          <w:sz w:val="32"/>
          <w:szCs w:val="32"/>
          <w:shd w:val="clear" w:color="auto" w:fill="FFFFFF"/>
        </w:rPr>
        <w:t>注：本章中</w:t>
      </w:r>
      <w:r>
        <w:rPr>
          <w:rFonts w:hint="eastAsia" w:ascii="Times New Roman" w:cs="Times New Roman"/>
          <w:b/>
          <w:bCs/>
          <w:sz w:val="32"/>
          <w:szCs w:val="32"/>
          <w:shd w:val="clear" w:color="auto" w:fill="FFFFFF"/>
          <w:lang w:val="en-US" w:eastAsia="zh-CN"/>
        </w:rPr>
        <w:t>均</w:t>
      </w:r>
      <w:r>
        <w:rPr>
          <w:rFonts w:hint="eastAsia" w:ascii="Times New Roman" w:cs="Times New Roman"/>
          <w:b/>
          <w:bCs/>
          <w:sz w:val="32"/>
          <w:szCs w:val="32"/>
          <w:shd w:val="clear" w:color="auto" w:fill="FFFFFF"/>
        </w:rPr>
        <w:t>为实质性要求，未响应或不满足，按无效响应处理。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3F8181-7D8B-4687-8C69-8F68791C73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EB1D151-F02F-4880-B14F-0E7309801EF6}"/>
  </w:font>
  <w:font w:name="仿宋_GB2312">
    <w:altName w:val="仿宋"/>
    <w:panose1 w:val="02010609030101010101"/>
    <w:charset w:val="86"/>
    <w:family w:val="modern"/>
    <w:pitch w:val="default"/>
    <w:sig w:usb0="00000000" w:usb1="00000000" w:usb2="00000000" w:usb3="00000000" w:csb0="00040000" w:csb1="00000000"/>
    <w:embedRegular r:id="rId3" w:fontKey="{44620E8C-E163-4588-B6E7-8F86BE4EDFF5}"/>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6C37BBCC-B06D-4B3D-BAC1-C5D8CEA6711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20CF00C9"/>
    <w:rsid w:val="3933030F"/>
    <w:rsid w:val="48A56F3E"/>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等线" w:hAnsi="等线" w:eastAsia="Times New Roman" w:cs="Times New Roman"/>
      <w:sz w:val="21"/>
      <w:szCs w:val="24"/>
    </w:rPr>
  </w:style>
  <w:style w:type="paragraph" w:styleId="4">
    <w:name w:val="Body Text 3"/>
    <w:basedOn w:val="1"/>
    <w:qFormat/>
    <w:uiPriority w:val="99"/>
    <w:pPr>
      <w:spacing w:line="500" w:lineRule="exact"/>
    </w:pPr>
    <w:rPr>
      <w:b/>
      <w:bCs/>
      <w:sz w:val="24"/>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2"/>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1102</Words>
  <Characters>1265</Characters>
  <Lines>0</Lines>
  <Paragraphs>0</Paragraphs>
  <TotalTime>0</TotalTime>
  <ScaleCrop>false</ScaleCrop>
  <LinksUpToDate>false</LinksUpToDate>
  <CharactersWithSpaces>1276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枫</cp:lastModifiedBy>
  <dcterms:modified xsi:type="dcterms:W3CDTF">2025-11-04T08:17:13Z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C953EDF3BCED4EEBAE35A113EDBC8BCC_11</vt:lpwstr>
  </property>
  <property fmtid="{D5CDD505-2E9C-101B-9397-08002B2CF9AE}" pid="4" name="KSOTemplateDocerSaveRecord">
    <vt:lpwstr>eyJoZGlkIjoiYjRmZjhlYTkwNGFhY2Y4MmQxMGFmZWQxNmZjODhmMjYiLCJ1c2VySWQiOiI0NjQ3MTU4MTMifQ==</vt:lpwstr>
  </property>
</Properties>
</file>