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68082">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0D219186">
      <w:pPr>
        <w:keepNext/>
        <w:keepLines/>
        <w:widowControl w:val="0"/>
        <w:numPr>
          <w:ilvl w:val="0"/>
          <w:numId w:val="0"/>
        </w:numPr>
        <w:bidi w:val="0"/>
        <w:spacing w:before="340" w:beforeLines="0" w:beforeAutospacing="0" w:after="330" w:afterLines="0" w:afterAutospacing="0" w:line="576" w:lineRule="auto"/>
        <w:jc w:val="center"/>
        <w:outlineLvl w:val="0"/>
        <w:rPr>
          <w:rFonts w:hint="default"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3549F72A">
      <w:pPr>
        <w:shd w:val="clear" w:color="auto" w:fill="FFFFFF"/>
        <w:tabs>
          <w:tab w:val="left" w:pos="720"/>
          <w:tab w:val="left" w:pos="900"/>
        </w:tabs>
        <w:adjustRightInd w:val="0"/>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一、比选项目内容</w:t>
      </w:r>
    </w:p>
    <w:p w14:paraId="35154E0E">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本项目共1个包件，采购《柳叶刀与算法智能时代的外科实践》专著出版服务项目，预算金额6.89万元。</w:t>
      </w:r>
    </w:p>
    <w:tbl>
      <w:tblPr>
        <w:tblStyle w:val="5"/>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74B6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vAlign w:val="center"/>
          </w:tcPr>
          <w:p w14:paraId="5DB55633">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包件</w:t>
            </w:r>
          </w:p>
        </w:tc>
        <w:tc>
          <w:tcPr>
            <w:tcW w:w="3352" w:type="dxa"/>
            <w:vAlign w:val="center"/>
          </w:tcPr>
          <w:p w14:paraId="1F5165A4">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标的</w:t>
            </w:r>
            <w:r>
              <w:rPr>
                <w:rFonts w:ascii="Times New Roman" w:hAnsi="Times New Roman" w:eastAsia="仿宋_GB2312" w:cs="Times New Roman"/>
                <w:b/>
                <w:sz w:val="28"/>
                <w:szCs w:val="28"/>
                <w:shd w:val="clear" w:color="auto" w:fill="FFFFFF"/>
              </w:rPr>
              <w:t>名称</w:t>
            </w:r>
          </w:p>
        </w:tc>
        <w:tc>
          <w:tcPr>
            <w:tcW w:w="1680" w:type="dxa"/>
            <w:vAlign w:val="center"/>
          </w:tcPr>
          <w:p w14:paraId="68A314E5">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数量</w:t>
            </w:r>
            <w:r>
              <w:rPr>
                <w:rFonts w:hint="eastAsia" w:ascii="Times New Roman" w:hAnsi="Times New Roman" w:eastAsia="仿宋_GB2312" w:cs="Times New Roman"/>
                <w:b/>
                <w:sz w:val="28"/>
                <w:szCs w:val="28"/>
                <w:shd w:val="clear" w:color="auto" w:fill="FFFFFF"/>
              </w:rPr>
              <w:t>（项）</w:t>
            </w:r>
          </w:p>
        </w:tc>
        <w:tc>
          <w:tcPr>
            <w:tcW w:w="2539" w:type="dxa"/>
            <w:vAlign w:val="center"/>
          </w:tcPr>
          <w:p w14:paraId="2C07545A">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预算金额</w:t>
            </w:r>
          </w:p>
          <w:p w14:paraId="126A7C5A">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（万元）</w:t>
            </w:r>
          </w:p>
        </w:tc>
      </w:tr>
      <w:tr w14:paraId="3801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vAlign w:val="center"/>
          </w:tcPr>
          <w:p w14:paraId="668800DF">
            <w:pPr>
              <w:shd w:val="clear" w:color="auto" w:fill="FFFFFF"/>
              <w:tabs>
                <w:tab w:val="left" w:pos="720"/>
              </w:tabs>
              <w:snapToGrid w:val="0"/>
              <w:spacing w:line="400" w:lineRule="exact"/>
              <w:jc w:val="center"/>
              <w:rPr>
                <w:rFonts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1</w:t>
            </w:r>
          </w:p>
        </w:tc>
        <w:tc>
          <w:tcPr>
            <w:tcW w:w="3352" w:type="dxa"/>
            <w:vAlign w:val="center"/>
          </w:tcPr>
          <w:p w14:paraId="005805B9">
            <w:pPr>
              <w:shd w:val="clear" w:color="auto" w:fill="FFFFFF"/>
              <w:tabs>
                <w:tab w:val="left" w:pos="720"/>
              </w:tabs>
              <w:snapToGrid w:val="0"/>
              <w:spacing w:line="400" w:lineRule="exact"/>
              <w:jc w:val="center"/>
              <w:rPr>
                <w:rFonts w:ascii="Times New Roman" w:hAnsi="Times New Roman" w:eastAsia="仿宋_GB2312" w:cs="Times New Roman"/>
                <w:sz w:val="28"/>
                <w:szCs w:val="28"/>
                <w:shd w:val="clear" w:color="auto" w:fill="FFFFFF"/>
              </w:rPr>
            </w:pPr>
            <w:r>
              <w:rPr>
                <w:rFonts w:hint="eastAsia" w:ascii="仿宋_GB2312" w:hAnsi="仿宋_GB2312" w:eastAsia="仿宋_GB2312" w:cs="仿宋_GB2312"/>
                <w:sz w:val="32"/>
                <w:szCs w:val="32"/>
                <w:shd w:val="clear" w:color="auto" w:fill="FFFFFF"/>
              </w:rPr>
              <w:t>《柳叶刀与算法智能时代的外科实践》专著出版服务</w:t>
            </w:r>
          </w:p>
        </w:tc>
        <w:tc>
          <w:tcPr>
            <w:tcW w:w="1680" w:type="dxa"/>
            <w:vAlign w:val="center"/>
          </w:tcPr>
          <w:p w14:paraId="425ED38A">
            <w:pPr>
              <w:jc w:val="center"/>
              <w:rPr>
                <w:rFonts w:ascii="仿宋_GB2312" w:hAnsi="Times New Roman" w:eastAsia="仿宋_GB2312" w:cs="仿宋_GB2312"/>
                <w:sz w:val="36"/>
                <w:szCs w:val="36"/>
              </w:rPr>
            </w:pPr>
            <w:r>
              <w:rPr>
                <w:rFonts w:hint="eastAsia" w:ascii="仿宋_GB2312" w:hAnsi="Times New Roman" w:eastAsia="仿宋_GB2312" w:cs="仿宋_GB2312"/>
                <w:sz w:val="36"/>
                <w:szCs w:val="36"/>
              </w:rPr>
              <w:t>1</w:t>
            </w:r>
          </w:p>
        </w:tc>
        <w:tc>
          <w:tcPr>
            <w:tcW w:w="2539" w:type="dxa"/>
            <w:vAlign w:val="center"/>
          </w:tcPr>
          <w:p w14:paraId="740BBBF2">
            <w:pPr>
              <w:jc w:val="center"/>
              <w:rPr>
                <w:rFonts w:ascii="Times New Roman" w:hAnsi="Times New Roman" w:eastAsia="仿宋_GB2312" w:cs="Times New Roman"/>
                <w:sz w:val="28"/>
                <w:szCs w:val="28"/>
                <w:shd w:val="clear" w:color="auto" w:fill="FFFFFF"/>
              </w:rPr>
            </w:pPr>
            <w:r>
              <w:rPr>
                <w:rFonts w:hint="eastAsia" w:ascii="仿宋_GB2312" w:hAnsi="仿宋_GB2312" w:eastAsia="仿宋_GB2312" w:cs="仿宋_GB2312"/>
                <w:sz w:val="32"/>
                <w:szCs w:val="32"/>
                <w:shd w:val="clear" w:color="auto" w:fill="FFFFFF"/>
              </w:rPr>
              <w:t>6.89</w:t>
            </w:r>
          </w:p>
        </w:tc>
      </w:tr>
    </w:tbl>
    <w:p w14:paraId="5C222506">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二</w:t>
      </w:r>
      <w:r>
        <w:rPr>
          <w:rFonts w:ascii="Times New Roman" w:hAnsi="Times New Roman" w:eastAsia="黑体" w:cs="Times New Roman"/>
          <w:sz w:val="32"/>
          <w:szCs w:val="32"/>
          <w:shd w:val="clear" w:color="auto" w:fill="FFFFFF"/>
        </w:rPr>
        <w:t>、</w:t>
      </w:r>
      <w:r>
        <w:rPr>
          <w:rFonts w:hint="eastAsia" w:ascii="Times New Roman" w:hAnsi="Times New Roman" w:eastAsia="黑体" w:cs="Times New Roman"/>
          <w:sz w:val="32"/>
          <w:szCs w:val="32"/>
          <w:shd w:val="clear" w:color="auto" w:fill="FFFFFF"/>
        </w:rPr>
        <w:t>技术、服务</w:t>
      </w:r>
      <w:r>
        <w:rPr>
          <w:rFonts w:ascii="Times New Roman" w:hAnsi="Times New Roman" w:eastAsia="黑体" w:cs="Times New Roman"/>
          <w:sz w:val="32"/>
          <w:szCs w:val="32"/>
          <w:shd w:val="clear" w:color="auto" w:fill="FFFFFF"/>
        </w:rPr>
        <w:t>要求</w:t>
      </w:r>
    </w:p>
    <w:p w14:paraId="10B0253B">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（一）技术要求：</w:t>
      </w:r>
    </w:p>
    <w:p w14:paraId="0C63F891">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1.专著出版：完成一部约500千字（50万字）医学专著的完整出版流程，确保获得正规ISBN书号及CIP数据核字号。</w:t>
      </w:r>
    </w:p>
    <w:p w14:paraId="2C46E2A6">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2.印制规格：成品尺寸为正度16开（185mm×260mm）。</w:t>
      </w:r>
    </w:p>
    <w:p w14:paraId="1DD0CD38">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3.装帧方式：平装。</w:t>
      </w:r>
    </w:p>
    <w:p w14:paraId="00B6540C">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4.印刷数量：500册。</w:t>
      </w:r>
    </w:p>
    <w:p w14:paraId="31CD6D60">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shd w:val="clear" w:color="auto" w:fill="FFFFFF"/>
        </w:rPr>
        <w:t>5.</w:t>
      </w:r>
      <w:r>
        <w:rPr>
          <w:rFonts w:hint="eastAsia" w:ascii="仿宋_GB2312" w:hAnsi="仿宋_GB2312" w:eastAsia="仿宋_GB2312" w:cs="仿宋_GB2312"/>
          <w:bCs/>
          <w:sz w:val="32"/>
          <w:szCs w:val="32"/>
        </w:rPr>
        <w:t>执行至少三审三校制度：初审、复审、终审三级审稿，校对环节不少于三轮（初校、二校、三校），并进行通读质检，确保稿件差错率低于万分之一，符合《标点符号用法》(GB/T15834-2011)、《出版物上数字用法》(GB/T15835-2011)的相关要求。</w:t>
      </w:r>
    </w:p>
    <w:p w14:paraId="4D9DC3BB">
      <w:pPr>
        <w:spacing w:line="5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Cs/>
          <w:sz w:val="32"/>
          <w:szCs w:val="32"/>
        </w:rPr>
        <w:t>6.</w:t>
      </w:r>
      <w:r>
        <w:rPr>
          <w:rFonts w:hint="eastAsia" w:ascii="仿宋_GB2312" w:hAnsi="仿宋_GB2312" w:eastAsia="仿宋_GB2312" w:cs="仿宋_GB2312"/>
          <w:b/>
          <w:sz w:val="32"/>
          <w:szCs w:val="32"/>
        </w:rPr>
        <w:t>出版物质量要求</w:t>
      </w:r>
    </w:p>
    <w:p w14:paraId="1827277B">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（1）文字清晰锐利，无重影、糊版或缺笔断划，字体大小符合采购人要求。</w:t>
      </w:r>
    </w:p>
    <w:p w14:paraId="309D5ECF">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（2）图表、公式、插图等线条流畅，标注清晰，色彩鲜明且套印准确。</w:t>
      </w:r>
    </w:p>
    <w:p w14:paraId="7B0F38CF">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（3）页码、页眉页脚等辅助信息位置统一，无错页、漏页或页码颠倒。</w:t>
      </w:r>
    </w:p>
    <w:p w14:paraId="31D06295">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（4）墨色均匀一致，无深浅不均或脏版现象，大面积底色需平整无条纹。</w:t>
      </w:r>
    </w:p>
    <w:p w14:paraId="3B2DE4B2">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（二）服务要求</w:t>
      </w:r>
    </w:p>
    <w:p w14:paraId="5408482D">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1.服务范围：服务应完整涵盖文稿编辑、校对、排版、设计、印刷、装订、出版社管理、书号申请、包装送货上门等全部环节。</w:t>
      </w:r>
    </w:p>
    <w:p w14:paraId="3BD39382">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2.内文纸张与印刷方式由供应商结合预算和质量要求写进服务方案。</w:t>
      </w:r>
    </w:p>
    <w:p w14:paraId="5B2FE954">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bCs/>
          <w:sz w:val="32"/>
          <w:szCs w:val="32"/>
        </w:rPr>
        <w:t>编撰人员要求：成立不少于5人的编撰团队，工作职责包含但不限于：资料审核录入、资料研究和内容编撰、内容核校等。</w:t>
      </w:r>
    </w:p>
    <w:p w14:paraId="66E9BFF4">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4.运输与交付</w:t>
      </w:r>
    </w:p>
    <w:p w14:paraId="4F2F62A8">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（1）供应商负责将成品运输至采购人指定地点（成都市中西医结医院南区），运输过程中采取防潮、防震措施，确保出版物无破损、污损。</w:t>
      </w:r>
    </w:p>
    <w:p w14:paraId="590E2FFD">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（2）供应商提供交付清单（至少包括书名、数量、规格），配合采购人完成数量清点及质量验收。</w:t>
      </w:r>
    </w:p>
    <w:p w14:paraId="52C24021">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保密要求：供应商因履行本合同所获得的一切原始资料、信息及相关工作成果属采购人所有，供应商负有保密义务。供应商要确保编纂全过程安全保密，并签订保密协议，不得私自留存保密资料。未经采购方书面同意，供应商不得在合同期内或合同履行完毕后以任何方式对外泄露或用于与本项目无关的其他任何事项。如因供应商过错导致采购方遭受损失的，供应商应承担全部赔偿责任。采购人提供的所有技术资料和基础资料（文字、图纸、电子数据等）均受版权保护，未经采购方授权，任何人不得将其内容复制、引用、改编、分发、发布、外借、转让。</w:t>
      </w:r>
    </w:p>
    <w:p w14:paraId="0DC262F0">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安全责任：在履行合同过程中，由供应商自行负责和承担相关安全责任。供应商应按有关规定采取严格的项目实施安全措施，承担由于自身安全措施不力造成的事故责任和因此发生的费用及后果，供应商投入本项目工作人员的人身安全由供应商负责。供应商应为本项目工作人员购买人身意外伤害险及与项目实施有关的一切保险。凡在项目实施过程中发生安全事故或其他责任事故，均由供应商承担。</w:t>
      </w:r>
    </w:p>
    <w:p w14:paraId="7FF8EB6F">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7.出版物在正常印刷情况下发生质量问题时，供应商承诺严格按照采购人的要求，在规定时间内无条件进行补印或重印。</w:t>
      </w:r>
    </w:p>
    <w:p w14:paraId="0AA04D7D">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8.若成交供应商的成书质量达不到技术要求，被认定为不合格产品，应无条件在采购人规定时间内重印并交付采购方，同时承担相应责任。</w:t>
      </w:r>
    </w:p>
    <w:p w14:paraId="3A2E33A6">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★三</w:t>
      </w:r>
      <w:r>
        <w:rPr>
          <w:rFonts w:ascii="Times New Roman" w:hAnsi="Times New Roman" w:eastAsia="黑体" w:cs="Times New Roman"/>
          <w:sz w:val="32"/>
          <w:szCs w:val="32"/>
          <w:shd w:val="clear" w:color="auto" w:fill="FFFFFF"/>
        </w:rPr>
        <w:t>、商务要求</w:t>
      </w:r>
    </w:p>
    <w:p w14:paraId="35565CB7">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color w:val="000000"/>
          <w:sz w:val="32"/>
          <w:szCs w:val="32"/>
          <w:shd w:val="clear" w:color="auto" w:fill="FFFFFF"/>
        </w:rPr>
        <w:t>报价：本项目预算及最高限价6.89万元；报价超过采购预算或最高限价，其比选申请文件按无效处理。</w:t>
      </w:r>
    </w:p>
    <w:p w14:paraId="5D735898">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付款方式：合同签订生效后3个工作日内，乙方向甲方提交与合同总金额等额的银行保函，保函期限应当覆盖整个服务期限。甲方收到银行保函和乙方出具的有效发票后10个工作日内将合同总金额100%转至乙方指定账户。</w:t>
      </w:r>
    </w:p>
    <w:p w14:paraId="09745FC4">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3.服务地点：成都市中西医结合医院南区。</w:t>
      </w:r>
    </w:p>
    <w:p w14:paraId="790DCF1B">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4.验收要求：按照相关法律法规的要求进行履约验收。</w:t>
      </w:r>
    </w:p>
    <w:p w14:paraId="1D168C6B">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p>
    <w:p w14:paraId="24ED9113">
      <w:pPr>
        <w:shd w:val="clear" w:color="auto" w:fill="FFFFFF"/>
        <w:tabs>
          <w:tab w:val="left" w:pos="720"/>
          <w:tab w:val="left" w:pos="900"/>
        </w:tabs>
        <w:adjustRightInd w:val="0"/>
        <w:snapToGrid w:val="0"/>
        <w:spacing w:line="560" w:lineRule="exact"/>
        <w:ind w:firstLine="643" w:firstLineChars="20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注：1.</w:t>
      </w:r>
      <w:r>
        <w:rPr>
          <w:rFonts w:hint="eastAsia" w:ascii="Times New Roman" w:hAnsi="Times New Roman" w:eastAsia="仿宋_GB2312" w:cs="Times New Roman"/>
          <w:b/>
          <w:bCs/>
          <w:sz w:val="32"/>
          <w:szCs w:val="32"/>
          <w:shd w:val="clear" w:color="auto" w:fill="FFFFFF"/>
          <w:lang w:val="en-US" w:eastAsia="zh-CN"/>
        </w:rPr>
        <w:t>以上内容</w:t>
      </w:r>
      <w:r>
        <w:rPr>
          <w:rFonts w:hint="eastAsia" w:ascii="Times New Roman" w:hAnsi="Times New Roman" w:eastAsia="仿宋_GB2312" w:cs="Times New Roman"/>
          <w:b/>
          <w:bCs/>
          <w:sz w:val="32"/>
          <w:szCs w:val="32"/>
          <w:shd w:val="clear" w:color="auto" w:fill="FFFFFF"/>
        </w:rPr>
        <w:t>明确为实质性要求（标注“★”号）的不允许有负偏离，否则做无效响应处理。除实质性要求，其余项目技术指标要求有负偏离仅做扣分处理。</w:t>
      </w:r>
    </w:p>
    <w:p w14:paraId="3220674C">
      <w:pPr>
        <w:shd w:val="clear" w:color="auto" w:fill="FFFFFF"/>
        <w:tabs>
          <w:tab w:val="left" w:pos="720"/>
          <w:tab w:val="left" w:pos="900"/>
        </w:tabs>
        <w:adjustRightInd w:val="0"/>
        <w:snapToGrid w:val="0"/>
        <w:spacing w:line="560" w:lineRule="exact"/>
        <w:ind w:firstLine="643" w:firstLineChars="20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2.除</w:t>
      </w:r>
      <w:r>
        <w:rPr>
          <w:rFonts w:hint="eastAsia" w:ascii="Times New Roman" w:hAnsi="Times New Roman" w:eastAsia="仿宋_GB2312" w:cs="Times New Roman"/>
          <w:b/>
          <w:bCs/>
          <w:sz w:val="32"/>
          <w:szCs w:val="32"/>
          <w:shd w:val="clear" w:color="auto" w:fill="FFFFFF"/>
          <w:lang w:val="en-US" w:eastAsia="zh-CN"/>
        </w:rPr>
        <w:t>以上内容</w:t>
      </w:r>
      <w:r>
        <w:rPr>
          <w:rFonts w:hint="eastAsia" w:ascii="Times New Roman" w:hAnsi="Times New Roman" w:eastAsia="仿宋_GB2312" w:cs="Times New Roman"/>
          <w:b/>
          <w:bCs/>
          <w:sz w:val="32"/>
          <w:szCs w:val="32"/>
          <w:shd w:val="clear" w:color="auto" w:fill="FFFFFF"/>
        </w:rPr>
        <w:t>中明确要求需要单独提供证明材</w:t>
      </w:r>
      <w:bookmarkStart w:id="1" w:name="_GoBack"/>
      <w:bookmarkEnd w:id="1"/>
      <w:r>
        <w:rPr>
          <w:rFonts w:hint="eastAsia" w:ascii="Times New Roman" w:hAnsi="Times New Roman" w:eastAsia="仿宋_GB2312" w:cs="Times New Roman"/>
          <w:b/>
          <w:bCs/>
          <w:sz w:val="32"/>
          <w:szCs w:val="32"/>
          <w:shd w:val="clear" w:color="auto" w:fill="FFFFFF"/>
        </w:rPr>
        <w:t>料外的，供应商在响应文件中针对实质性要求仅在偏离表中进行明确响应即可，评审委员会在评审时，仅对响应文件是否违背实质性要求进行审查。</w:t>
      </w:r>
    </w:p>
    <w:p w14:paraId="29F163EB">
      <w:pPr>
        <w:shd w:val="clear" w:color="auto" w:fill="FFFFFF"/>
        <w:tabs>
          <w:tab w:val="left" w:pos="720"/>
          <w:tab w:val="left" w:pos="900"/>
        </w:tabs>
        <w:adjustRightInd w:val="0"/>
        <w:snapToGrid w:val="0"/>
        <w:spacing w:line="560" w:lineRule="exact"/>
        <w:ind w:firstLine="420" w:firstLineChars="200"/>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05697B1C"/>
    <w:rsid w:val="45110459"/>
    <w:rsid w:val="6F9D2571"/>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cs="Times New Roman"/>
    </w:rPr>
  </w:style>
  <w:style w:type="paragraph" w:styleId="4">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1144</Words>
  <Characters>1313</Characters>
  <Lines>0</Lines>
  <Paragraphs>0</Paragraphs>
  <TotalTime>0</TotalTime>
  <ScaleCrop>false</ScaleCrop>
  <LinksUpToDate>false</LinksUpToDate>
  <CharactersWithSpaces>1321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国招邓诗依</cp:lastModifiedBy>
  <dcterms:modified xsi:type="dcterms:W3CDTF">2025-11-06T02:48:00Z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eyJoZGlkIjoiMWRhMTBhYzU5NmFlY2Q4MDk0YWVmZTU1YWVjYmNmZTkiLCJ1c2VySWQiOiI0Mzg0NTQzMTEifQ==</vt:lpwstr>
  </property>
</Properties>
</file>