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50984">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2388398D">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2A751279">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一、比选项目内容</w:t>
      </w:r>
    </w:p>
    <w:p w14:paraId="108B8003">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highlight w:val="none"/>
          <w:shd w:val="clear" w:color="auto" w:fill="FFFFFF"/>
        </w:rPr>
        <w:t>本项目共1个包件，采购</w:t>
      </w:r>
      <w:r>
        <w:rPr>
          <w:rFonts w:hint="eastAsia" w:ascii="仿宋_GB2312" w:hAnsi="仿宋_GB2312" w:eastAsia="仿宋_GB2312" w:cs="仿宋_GB2312"/>
          <w:sz w:val="32"/>
          <w:szCs w:val="32"/>
          <w:highlight w:val="none"/>
          <w:shd w:val="clear" w:color="auto" w:fill="FFFFFF"/>
          <w:lang w:eastAsia="zh-CN"/>
        </w:rPr>
        <w:t>会计档案装订服务</w:t>
      </w:r>
      <w:r>
        <w:rPr>
          <w:rFonts w:hint="eastAsia" w:ascii="仿宋_GB2312" w:hAnsi="仿宋_GB2312" w:eastAsia="仿宋_GB2312" w:cs="仿宋_GB2312"/>
          <w:sz w:val="32"/>
          <w:szCs w:val="32"/>
          <w:highlight w:val="none"/>
          <w:shd w:val="clear" w:color="auto" w:fill="FFFFFF"/>
        </w:rPr>
        <w:t>项目，预算金额4.</w:t>
      </w:r>
      <w:r>
        <w:rPr>
          <w:rFonts w:hint="eastAsia" w:ascii="仿宋_GB2312" w:hAnsi="仿宋_GB2312" w:eastAsia="仿宋_GB2312" w:cs="仿宋_GB2312"/>
          <w:sz w:val="32"/>
          <w:szCs w:val="32"/>
          <w:highlight w:val="none"/>
          <w:shd w:val="clear" w:color="auto" w:fill="FFFFFF"/>
          <w:lang w:val="en-US" w:eastAsia="zh-CN"/>
        </w:rPr>
        <w:t>6</w:t>
      </w:r>
      <w:r>
        <w:rPr>
          <w:rFonts w:hint="eastAsia" w:ascii="仿宋_GB2312" w:hAnsi="仿宋_GB2312" w:eastAsia="仿宋_GB2312" w:cs="仿宋_GB2312"/>
          <w:sz w:val="32"/>
          <w:szCs w:val="32"/>
          <w:highlight w:val="none"/>
          <w:shd w:val="clear" w:color="auto" w:fill="FFFFFF"/>
        </w:rPr>
        <w:t>万元/年</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一采三年</w:t>
      </w:r>
      <w:r>
        <w:rPr>
          <w:rFonts w:hint="eastAsia" w:ascii="仿宋_GB2312" w:hAnsi="仿宋_GB2312" w:eastAsia="仿宋_GB2312" w:cs="仿宋_GB2312"/>
          <w:sz w:val="32"/>
          <w:szCs w:val="32"/>
          <w:shd w:val="clear" w:color="auto" w:fill="FFFFFF"/>
        </w:rPr>
        <w:t>。</w:t>
      </w:r>
    </w:p>
    <w:tbl>
      <w:tblPr>
        <w:tblStyle w:val="5"/>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782"/>
        <w:gridCol w:w="1081"/>
        <w:gridCol w:w="1700"/>
        <w:gridCol w:w="1930"/>
      </w:tblGrid>
      <w:tr w14:paraId="060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3" w:type="dxa"/>
            <w:vAlign w:val="center"/>
          </w:tcPr>
          <w:p w14:paraId="2A9E8E65">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包件</w:t>
            </w:r>
          </w:p>
        </w:tc>
        <w:tc>
          <w:tcPr>
            <w:tcW w:w="2782" w:type="dxa"/>
            <w:vAlign w:val="center"/>
          </w:tcPr>
          <w:p w14:paraId="5BB7BEF2">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标的</w:t>
            </w:r>
            <w:r>
              <w:rPr>
                <w:rFonts w:ascii="Times New Roman" w:hAnsi="Times New Roman" w:eastAsia="仿宋_GB2312" w:cs="Times New Roman"/>
                <w:b/>
                <w:sz w:val="28"/>
                <w:szCs w:val="28"/>
                <w:highlight w:val="none"/>
                <w:shd w:val="clear" w:color="auto" w:fill="FFFFFF"/>
              </w:rPr>
              <w:t>名称</w:t>
            </w:r>
          </w:p>
        </w:tc>
        <w:tc>
          <w:tcPr>
            <w:tcW w:w="1081" w:type="dxa"/>
            <w:vAlign w:val="center"/>
          </w:tcPr>
          <w:p w14:paraId="43D9253D">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ascii="Times New Roman" w:hAnsi="Times New Roman" w:eastAsia="仿宋_GB2312" w:cs="Times New Roman"/>
                <w:b/>
                <w:sz w:val="28"/>
                <w:szCs w:val="28"/>
                <w:highlight w:val="none"/>
                <w:shd w:val="clear" w:color="auto" w:fill="FFFFFF"/>
              </w:rPr>
              <w:t>数量</w:t>
            </w:r>
            <w:r>
              <w:rPr>
                <w:rFonts w:hint="eastAsia" w:ascii="Times New Roman" w:hAnsi="Times New Roman" w:eastAsia="仿宋_GB2312" w:cs="Times New Roman"/>
                <w:b/>
                <w:sz w:val="28"/>
                <w:szCs w:val="28"/>
                <w:highlight w:val="none"/>
                <w:shd w:val="clear" w:color="auto" w:fill="FFFFFF"/>
              </w:rPr>
              <w:t>（项）</w:t>
            </w:r>
          </w:p>
        </w:tc>
        <w:tc>
          <w:tcPr>
            <w:tcW w:w="1700" w:type="dxa"/>
            <w:vAlign w:val="center"/>
          </w:tcPr>
          <w:p w14:paraId="45806DC8">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预算金额</w:t>
            </w:r>
          </w:p>
          <w:p w14:paraId="710B5AD2">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（万元/年）</w:t>
            </w:r>
          </w:p>
        </w:tc>
        <w:tc>
          <w:tcPr>
            <w:tcW w:w="1930" w:type="dxa"/>
            <w:vAlign w:val="center"/>
          </w:tcPr>
          <w:p w14:paraId="1442497E">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highlight w:val="none"/>
                <w:shd w:val="clear" w:color="auto" w:fill="FFFFFF"/>
                <w:lang w:val="en-US" w:eastAsia="zh-CN"/>
              </w:rPr>
            </w:pPr>
            <w:r>
              <w:rPr>
                <w:rFonts w:hint="eastAsia" w:ascii="Times New Roman" w:hAnsi="Times New Roman" w:eastAsia="仿宋_GB2312" w:cs="Times New Roman"/>
                <w:b/>
                <w:sz w:val="28"/>
                <w:szCs w:val="28"/>
                <w:highlight w:val="none"/>
                <w:shd w:val="clear" w:color="auto" w:fill="FFFFFF"/>
                <w:lang w:val="en-US" w:eastAsia="zh-CN"/>
              </w:rPr>
              <w:t>备注</w:t>
            </w:r>
          </w:p>
        </w:tc>
      </w:tr>
      <w:tr w14:paraId="631A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3" w:type="dxa"/>
            <w:vAlign w:val="center"/>
          </w:tcPr>
          <w:p w14:paraId="6632F8F4">
            <w:pPr>
              <w:shd w:val="clear" w:color="auto" w:fill="FFFFFF"/>
              <w:tabs>
                <w:tab w:val="left" w:pos="720"/>
              </w:tabs>
              <w:snapToGrid w:val="0"/>
              <w:spacing w:line="4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p>
        </w:tc>
        <w:tc>
          <w:tcPr>
            <w:tcW w:w="2782" w:type="dxa"/>
            <w:vAlign w:val="center"/>
          </w:tcPr>
          <w:p w14:paraId="260569C6">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会计档案装订服务</w:t>
            </w:r>
          </w:p>
        </w:tc>
        <w:tc>
          <w:tcPr>
            <w:tcW w:w="1081" w:type="dxa"/>
            <w:vAlign w:val="center"/>
          </w:tcPr>
          <w:p w14:paraId="599360BD">
            <w:pPr>
              <w:jc w:val="center"/>
              <w:rPr>
                <w:rFonts w:ascii="仿宋_GB2312" w:hAnsi="Times New Roman" w:eastAsia="仿宋_GB2312" w:cs="仿宋_GB2312"/>
                <w:sz w:val="36"/>
                <w:szCs w:val="36"/>
                <w:highlight w:val="none"/>
              </w:rPr>
            </w:pPr>
            <w:r>
              <w:rPr>
                <w:rFonts w:hint="eastAsia" w:ascii="仿宋_GB2312" w:hAnsi="Times New Roman" w:eastAsia="仿宋_GB2312" w:cs="仿宋_GB2312"/>
                <w:sz w:val="36"/>
                <w:szCs w:val="36"/>
                <w:highlight w:val="none"/>
              </w:rPr>
              <w:t>1</w:t>
            </w:r>
          </w:p>
        </w:tc>
        <w:tc>
          <w:tcPr>
            <w:tcW w:w="1700" w:type="dxa"/>
            <w:vAlign w:val="center"/>
          </w:tcPr>
          <w:p w14:paraId="22D8AB94">
            <w:pPr>
              <w:jc w:val="center"/>
              <w:rPr>
                <w:rFonts w:hint="default" w:ascii="Times New Roman" w:hAnsi="Times New Roman" w:eastAsia="仿宋_GB2312" w:cs="Times New Roman"/>
                <w:sz w:val="28"/>
                <w:szCs w:val="28"/>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rPr>
              <w:t>4.</w:t>
            </w:r>
            <w:r>
              <w:rPr>
                <w:rFonts w:hint="eastAsia" w:ascii="仿宋_GB2312" w:hAnsi="仿宋_GB2312" w:eastAsia="仿宋_GB2312" w:cs="仿宋_GB2312"/>
                <w:sz w:val="32"/>
                <w:szCs w:val="32"/>
                <w:highlight w:val="none"/>
                <w:shd w:val="clear" w:color="auto" w:fill="FFFFFF"/>
                <w:lang w:val="en-US" w:eastAsia="zh-CN"/>
              </w:rPr>
              <w:t>6</w:t>
            </w:r>
          </w:p>
        </w:tc>
        <w:tc>
          <w:tcPr>
            <w:tcW w:w="1930" w:type="dxa"/>
            <w:vAlign w:val="center"/>
          </w:tcPr>
          <w:p w14:paraId="0BA7606E">
            <w:pPr>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一采三年</w:t>
            </w:r>
          </w:p>
        </w:tc>
      </w:tr>
    </w:tbl>
    <w:p w14:paraId="210E21A0">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二</w:t>
      </w:r>
      <w:r>
        <w:rPr>
          <w:rFonts w:ascii="Times New Roman" w:hAnsi="Times New Roman" w:eastAsia="黑体" w:cs="Times New Roman"/>
          <w:sz w:val="32"/>
          <w:szCs w:val="32"/>
          <w:highlight w:val="none"/>
          <w:shd w:val="clear" w:color="auto" w:fill="FFFFFF"/>
        </w:rPr>
        <w:t>、</w:t>
      </w:r>
      <w:r>
        <w:rPr>
          <w:rFonts w:hint="eastAsia" w:ascii="Times New Roman" w:hAnsi="Times New Roman" w:eastAsia="黑体" w:cs="Times New Roman"/>
          <w:sz w:val="32"/>
          <w:szCs w:val="32"/>
          <w:highlight w:val="none"/>
          <w:shd w:val="clear" w:color="auto" w:fill="FFFFFF"/>
          <w:lang w:val="en-US" w:eastAsia="zh-CN"/>
        </w:rPr>
        <w:t>技术、</w:t>
      </w:r>
      <w:r>
        <w:rPr>
          <w:rFonts w:hint="eastAsia" w:ascii="Times New Roman" w:hAnsi="Times New Roman" w:eastAsia="黑体" w:cs="Times New Roman"/>
          <w:sz w:val="32"/>
          <w:szCs w:val="32"/>
          <w:highlight w:val="none"/>
          <w:shd w:val="clear" w:color="auto" w:fill="FFFFFF"/>
        </w:rPr>
        <w:t>服务</w:t>
      </w:r>
      <w:r>
        <w:rPr>
          <w:rFonts w:ascii="Times New Roman" w:hAnsi="Times New Roman" w:eastAsia="黑体" w:cs="Times New Roman"/>
          <w:sz w:val="32"/>
          <w:szCs w:val="32"/>
          <w:highlight w:val="none"/>
          <w:shd w:val="clear" w:color="auto" w:fill="FFFFFF"/>
        </w:rPr>
        <w:t>要求</w:t>
      </w:r>
    </w:p>
    <w:p w14:paraId="272CAEA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（一）服务范围</w:t>
      </w:r>
    </w:p>
    <w:p w14:paraId="79F065E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▲1.负责甲方2026年1月1日至2028年12月31日的财务档案整理、装订、归类、上架等服务工作。</w:t>
      </w:r>
    </w:p>
    <w:p w14:paraId="3FBF034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2.为医院票据粘贴、整理、归类等提供培训服务。</w:t>
      </w:r>
    </w:p>
    <w:p w14:paraId="28497E5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3.装订设备：供应商必须自备并提供至少1台性能良好的专业会计凭证装订设备，并负责该设备在服务期内的全部维修、维护。</w:t>
      </w:r>
    </w:p>
    <w:p w14:paraId="71B6190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4.负责封面和装订垫片、胶管的提供。</w:t>
      </w:r>
    </w:p>
    <w:p w14:paraId="6E0A730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（二）服务质量标准</w:t>
      </w:r>
    </w:p>
    <w:p w14:paraId="790E4A9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▲1.严格按照《中华人民共和国档案法》《会计档案管理办法》相关要求对医院档案进行装订服务。</w:t>
      </w:r>
    </w:p>
    <w:p w14:paraId="2BBED5C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2.负责装订设备日常维护工作，确保设备正常使用、运行。</w:t>
      </w:r>
    </w:p>
    <w:p w14:paraId="1A912CC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3.为医院提供专业技术培训支持。</w:t>
      </w:r>
    </w:p>
    <w:p w14:paraId="61CEE94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4.保证为医院提供服务的人员为通过专业培训并且考核合格，具备相关上岗资格的专业技术人员。</w:t>
      </w:r>
    </w:p>
    <w:p w14:paraId="29A5DE4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Times New Roman" w:hAnsi="Times New Roman" w:eastAsia="仿宋_GB2312" w:cs="Times New Roman"/>
          <w:sz w:val="32"/>
          <w:szCs w:val="32"/>
          <w:u w:val="none"/>
          <w:shd w:val="clear" w:color="auto" w:fill="FFFFFF"/>
          <w:lang w:val="en-US" w:eastAsia="zh-CN"/>
        </w:rPr>
        <w:t>▲5.会计档案按《会计档案管理办法》和</w:t>
      </w:r>
      <w:r>
        <w:rPr>
          <w:rFonts w:hint="eastAsia" w:ascii="仿宋_GB2312" w:hAnsi="Times New Roman" w:eastAsia="仿宋_GB2312" w:cs="仿宋_GB2312"/>
          <w:sz w:val="36"/>
          <w:szCs w:val="36"/>
          <w:lang w:val="en-US" w:eastAsia="zh-CN"/>
        </w:rPr>
        <w:t>《</w:t>
      </w:r>
      <w:r>
        <w:rPr>
          <w:rFonts w:hint="eastAsia" w:ascii="Times New Roman" w:hAnsi="Times New Roman" w:eastAsia="仿宋_GB2312" w:cs="Times New Roman"/>
          <w:sz w:val="32"/>
          <w:szCs w:val="32"/>
          <w:u w:val="none"/>
          <w:shd w:val="clear" w:color="auto" w:fill="FFFFFF"/>
          <w:lang w:val="en-US" w:eastAsia="zh-CN"/>
        </w:rPr>
        <w:t>会计档案案卷格式</w:t>
      </w:r>
      <w:r>
        <w:rPr>
          <w:rFonts w:hint="eastAsia" w:ascii="仿宋_GB2312" w:hAnsi="Times New Roman" w:eastAsia="仿宋_GB2312" w:cs="仿宋_GB2312"/>
          <w:sz w:val="36"/>
          <w:szCs w:val="36"/>
          <w:lang w:val="en-US" w:eastAsia="zh-CN"/>
        </w:rPr>
        <w:t>》</w:t>
      </w:r>
      <w:r>
        <w:rPr>
          <w:rFonts w:hint="eastAsia" w:ascii="Times New Roman" w:hAnsi="Times New Roman" w:eastAsia="仿宋_GB2312" w:cs="Times New Roman"/>
          <w:sz w:val="32"/>
          <w:szCs w:val="32"/>
          <w:u w:val="none"/>
          <w:shd w:val="clear" w:color="auto" w:fill="FFFFFF"/>
          <w:lang w:val="en-US" w:eastAsia="zh-CN"/>
        </w:rPr>
        <w:t>的标准要求进行整理。</w:t>
      </w:r>
    </w:p>
    <w:p w14:paraId="01FE6E77">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0F6E9628">
      <w:pPr>
        <w:shd w:val="clear" w:color="auto" w:fill="FFFFFF"/>
        <w:tabs>
          <w:tab w:val="left" w:pos="720"/>
          <w:tab w:val="left" w:pos="900"/>
        </w:tabs>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1.服务期限：</w:t>
      </w:r>
      <w:r>
        <w:rPr>
          <w:rFonts w:hint="eastAsia" w:ascii="仿宋_GB2312" w:hAnsi="仿宋_GB2312" w:eastAsia="仿宋_GB2312" w:cs="仿宋_GB2312"/>
          <w:color w:val="000000"/>
          <w:sz w:val="32"/>
          <w:szCs w:val="32"/>
          <w:shd w:val="clear" w:color="auto" w:fill="FFFFFF"/>
        </w:rPr>
        <w:t>自合同签订</w:t>
      </w:r>
      <w:r>
        <w:rPr>
          <w:rFonts w:hint="eastAsia" w:ascii="仿宋_GB2312" w:hAnsi="仿宋_GB2312" w:eastAsia="仿宋_GB2312" w:cs="仿宋_GB2312"/>
          <w:color w:val="000000"/>
          <w:sz w:val="32"/>
          <w:szCs w:val="32"/>
          <w:shd w:val="clear" w:color="auto" w:fill="FFFFFF"/>
          <w:lang w:val="en-US" w:eastAsia="zh-CN"/>
        </w:rPr>
        <w:t>生效</w:t>
      </w:r>
      <w:r>
        <w:rPr>
          <w:rFonts w:hint="eastAsia" w:ascii="仿宋_GB2312" w:hAnsi="仿宋_GB2312" w:eastAsia="仿宋_GB2312" w:cs="仿宋_GB2312"/>
          <w:color w:val="000000"/>
          <w:sz w:val="32"/>
          <w:szCs w:val="32"/>
          <w:shd w:val="clear" w:color="auto" w:fill="FFFFFF"/>
        </w:rPr>
        <w:t>之日起三年。</w:t>
      </w:r>
    </w:p>
    <w:p w14:paraId="3D62565A">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2.报价：本项目预算</w:t>
      </w:r>
      <w:r>
        <w:rPr>
          <w:rFonts w:hint="eastAsia" w:ascii="仿宋_GB2312" w:hAnsi="仿宋_GB2312" w:eastAsia="仿宋_GB2312" w:cs="仿宋_GB2312"/>
          <w:color w:val="000000"/>
          <w:sz w:val="32"/>
          <w:szCs w:val="32"/>
          <w:shd w:val="clear" w:color="auto" w:fill="FFFFFF"/>
          <w:lang w:val="en-US" w:eastAsia="zh-CN"/>
        </w:rPr>
        <w:t>及最高</w:t>
      </w:r>
      <w:r>
        <w:rPr>
          <w:rFonts w:hint="eastAsia" w:ascii="仿宋_GB2312" w:hAnsi="仿宋_GB2312" w:eastAsia="仿宋_GB2312" w:cs="仿宋_GB2312"/>
          <w:color w:val="000000"/>
          <w:sz w:val="32"/>
          <w:szCs w:val="32"/>
          <w:highlight w:val="none"/>
          <w:shd w:val="clear" w:color="auto" w:fill="FFFFFF"/>
          <w:lang w:val="en-US" w:eastAsia="zh-CN"/>
        </w:rPr>
        <w:t>限价</w:t>
      </w:r>
      <w:r>
        <w:rPr>
          <w:rFonts w:hint="eastAsia" w:ascii="仿宋_GB2312" w:hAnsi="仿宋_GB2312" w:eastAsia="仿宋_GB2312" w:cs="仿宋_GB2312"/>
          <w:color w:val="000000"/>
          <w:sz w:val="32"/>
          <w:szCs w:val="32"/>
          <w:highlight w:val="none"/>
          <w:shd w:val="clear" w:color="auto" w:fill="FFFFFF"/>
        </w:rPr>
        <w:t>4.</w:t>
      </w:r>
      <w:r>
        <w:rPr>
          <w:rFonts w:hint="eastAsia" w:ascii="仿宋_GB2312" w:hAnsi="仿宋_GB2312" w:eastAsia="仿宋_GB2312" w:cs="仿宋_GB2312"/>
          <w:color w:val="000000"/>
          <w:sz w:val="32"/>
          <w:szCs w:val="32"/>
          <w:highlight w:val="none"/>
          <w:shd w:val="clear" w:color="auto" w:fill="FFFFFF"/>
          <w:lang w:val="en-US" w:eastAsia="zh-CN"/>
        </w:rPr>
        <w:t>6</w:t>
      </w:r>
      <w:r>
        <w:rPr>
          <w:rFonts w:hint="eastAsia" w:ascii="仿宋_GB2312" w:hAnsi="仿宋_GB2312" w:eastAsia="仿宋_GB2312" w:cs="仿宋_GB2312"/>
          <w:color w:val="000000"/>
          <w:sz w:val="32"/>
          <w:szCs w:val="32"/>
          <w:highlight w:val="none"/>
          <w:shd w:val="clear" w:color="auto" w:fill="FFFFFF"/>
        </w:rPr>
        <w:t>万元/年，一采三年；</w:t>
      </w:r>
      <w:r>
        <w:rPr>
          <w:rFonts w:hint="eastAsia" w:ascii="仿宋_GB2312" w:hAnsi="仿宋_GB2312" w:eastAsia="仿宋_GB2312" w:cs="仿宋_GB2312"/>
          <w:color w:val="000000"/>
          <w:sz w:val="32"/>
          <w:szCs w:val="32"/>
          <w:shd w:val="clear" w:color="auto" w:fill="FFFFFF"/>
        </w:rPr>
        <w:t>报价超过采购预算</w:t>
      </w:r>
      <w:r>
        <w:rPr>
          <w:rFonts w:hint="eastAsia" w:ascii="仿宋_GB2312" w:hAnsi="仿宋_GB2312" w:eastAsia="仿宋_GB2312" w:cs="仿宋_GB2312"/>
          <w:color w:val="000000"/>
          <w:sz w:val="32"/>
          <w:szCs w:val="32"/>
          <w:shd w:val="clear" w:color="auto" w:fill="FFFFFF"/>
          <w:lang w:val="en-US" w:eastAsia="zh-CN"/>
        </w:rPr>
        <w:t>或最高限价</w:t>
      </w:r>
      <w:r>
        <w:rPr>
          <w:rFonts w:hint="eastAsia" w:ascii="仿宋_GB2312" w:hAnsi="仿宋_GB2312" w:eastAsia="仿宋_GB2312" w:cs="仿宋_GB2312"/>
          <w:color w:val="000000"/>
          <w:sz w:val="32"/>
          <w:szCs w:val="32"/>
          <w:shd w:val="clear" w:color="auto" w:fill="FFFFFF"/>
        </w:rPr>
        <w:t>，其比选申请文件按无效处理。</w:t>
      </w:r>
    </w:p>
    <w:p w14:paraId="44D07D22">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3.付款方式：</w:t>
      </w:r>
      <w:r>
        <w:rPr>
          <w:rFonts w:hint="eastAsia" w:ascii="仿宋_GB2312" w:hAnsi="仿宋_GB2312" w:eastAsia="仿宋_GB2312" w:cs="仿宋_GB2312"/>
          <w:color w:val="000000"/>
          <w:sz w:val="32"/>
          <w:szCs w:val="32"/>
          <w:highlight w:val="none"/>
          <w:shd w:val="clear" w:color="auto" w:fill="FFFFFF"/>
        </w:rPr>
        <w:t>本合同项下的款项共分六批次支付完毕：本项目合同签订生效后，乙方每完成半年的会计档案装订服务并经</w:t>
      </w:r>
      <w:r>
        <w:rPr>
          <w:rFonts w:hint="eastAsia" w:ascii="仿宋_GB2312" w:hAnsi="仿宋_GB2312" w:eastAsia="仿宋_GB2312" w:cs="仿宋_GB2312"/>
          <w:color w:val="000000"/>
          <w:sz w:val="32"/>
          <w:szCs w:val="32"/>
          <w:highlight w:val="none"/>
          <w:shd w:val="clear" w:color="auto" w:fill="FFFFFF"/>
          <w:lang w:val="en-US" w:eastAsia="zh-CN"/>
        </w:rPr>
        <w:t>甲方</w:t>
      </w:r>
      <w:r>
        <w:rPr>
          <w:rFonts w:hint="eastAsia" w:ascii="仿宋_GB2312" w:hAnsi="仿宋_GB2312" w:eastAsia="仿宋_GB2312" w:cs="仿宋_GB2312"/>
          <w:color w:val="000000"/>
          <w:sz w:val="32"/>
          <w:szCs w:val="32"/>
          <w:highlight w:val="none"/>
          <w:shd w:val="clear" w:color="auto" w:fill="FFFFFF"/>
        </w:rPr>
        <w:t>考核合格后可申请</w:t>
      </w:r>
      <w:r>
        <w:rPr>
          <w:rFonts w:hint="eastAsia" w:ascii="仿宋_GB2312" w:hAnsi="仿宋_GB2312" w:eastAsia="仿宋_GB2312" w:cs="仿宋_GB2312"/>
          <w:color w:val="000000"/>
          <w:sz w:val="32"/>
          <w:szCs w:val="32"/>
          <w:highlight w:val="none"/>
          <w:shd w:val="clear" w:color="auto" w:fill="FFFFFF"/>
          <w:lang w:val="en-US" w:eastAsia="zh-CN"/>
        </w:rPr>
        <w:t>甲方支付该批次合同</w:t>
      </w:r>
      <w:r>
        <w:rPr>
          <w:rFonts w:hint="eastAsia" w:ascii="仿宋_GB2312" w:hAnsi="仿宋_GB2312" w:eastAsia="仿宋_GB2312" w:cs="仿宋_GB2312"/>
          <w:color w:val="000000"/>
          <w:sz w:val="32"/>
          <w:szCs w:val="32"/>
          <w:highlight w:val="none"/>
          <w:shd w:val="clear" w:color="auto" w:fill="FFFFFF"/>
        </w:rPr>
        <w:t>款，甲方收到乙方开具的合法有效完整的票据后，10个工作日内支付该批次合同款。</w:t>
      </w:r>
    </w:p>
    <w:p w14:paraId="54B7EB4A">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4.服务地点：成都市中西医结合医院南区。</w:t>
      </w:r>
    </w:p>
    <w:p w14:paraId="5A547AD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5.验收要求：</w:t>
      </w:r>
      <w:r>
        <w:rPr>
          <w:rFonts w:hint="eastAsia" w:ascii="仿宋_GB2312" w:hAnsi="仿宋_GB2312" w:eastAsia="仿宋_GB2312" w:cs="仿宋_GB2312"/>
          <w:sz w:val="32"/>
          <w:szCs w:val="32"/>
          <w:u w:val="none"/>
          <w:shd w:val="clear" w:color="auto" w:fill="FFFFFF"/>
          <w:lang w:val="en-US" w:eastAsia="zh-CN"/>
        </w:rPr>
        <w:t>参照《财政部关于进一步加强政府采购需求和履约验收管理的指导意见》（财库〔2016〕205号）《政府采购需求管理办法》（财库〔2021〕22号）等相关法律法规的要求进行履约验收</w:t>
      </w:r>
      <w:r>
        <w:rPr>
          <w:rFonts w:hint="eastAsia" w:ascii="仿宋_GB2312" w:hAnsi="仿宋_GB2312" w:eastAsia="仿宋_GB2312" w:cs="仿宋_GB2312"/>
          <w:sz w:val="32"/>
          <w:szCs w:val="32"/>
          <w:shd w:val="clear" w:color="auto" w:fill="FFFFFF"/>
        </w:rPr>
        <w:t>。</w:t>
      </w:r>
    </w:p>
    <w:p w14:paraId="1A7702D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p>
    <w:p w14:paraId="14DF138F">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highlight w:val="yellow"/>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注：1.本章明确为实质性要求（标注“★”号）的不允许有负偏离，否则做无效响应处理。除实质性要求，其余项目技术指标要求有负偏离仅做扣分处理。</w:t>
      </w:r>
      <w:r>
        <w:rPr>
          <w:rFonts w:hint="eastAsia" w:ascii="Times New Roman" w:hAnsi="Times New Roman" w:eastAsia="仿宋_GB2312" w:cs="Times New Roman"/>
          <w:b/>
          <w:bCs/>
          <w:sz w:val="32"/>
          <w:szCs w:val="32"/>
          <w:highlight w:val="none"/>
          <w:shd w:val="clear" w:color="auto" w:fill="FFFFFF"/>
          <w:lang w:eastAsia="zh-CN"/>
        </w:rPr>
        <w:t>其中标注“▲”号的为重要参数，重要参数需提供相关证明材料佐证，具体参数有要求的以具体要求提供的证明材料为准，否则可不予认定。</w:t>
      </w:r>
    </w:p>
    <w:p w14:paraId="32DC383A">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p w14:paraId="7F01BCC5">
      <w:pPr>
        <w:shd w:val="clear" w:color="auto" w:fill="FFFFFF"/>
        <w:tabs>
          <w:tab w:val="left" w:pos="720"/>
          <w:tab w:val="left" w:pos="900"/>
        </w:tabs>
        <w:adjustRightInd w:val="0"/>
        <w:snapToGrid w:val="0"/>
        <w:spacing w:line="560" w:lineRule="exact"/>
        <w:ind w:firstLine="420" w:firstLineChars="200"/>
        <w:jc w:val="both"/>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3E030866"/>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Times New Roman" w:cs="Times New Roman"/>
      <w:sz w:val="21"/>
      <w:szCs w:val="24"/>
    </w:rPr>
  </w:style>
  <w:style w:type="paragraph" w:styleId="4">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国招邓诗依</cp:lastModifiedBy>
  <dcterms:modified xsi:type="dcterms:W3CDTF">2026-01-22T02:30:10Z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