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3048E">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14:paraId="21089B46">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4FA3612A">
      <w:pPr>
        <w:pStyle w:val="2"/>
        <w:spacing w:before="0" w:after="0" w:line="240" w:lineRule="auto"/>
        <w:jc w:val="both"/>
        <w:rPr>
          <w:rFonts w:hint="eastAsia" w:ascii="Times New Roman" w:eastAsia="黑体" w:cs="Times New Roman"/>
          <w:color w:val="auto"/>
          <w:sz w:val="32"/>
          <w:szCs w:val="32"/>
          <w:shd w:val="clear" w:color="auto" w:fill="FFFFFF"/>
        </w:rPr>
      </w:pPr>
      <w:r>
        <w:rPr>
          <w:rFonts w:ascii="Times New Roman" w:eastAsia="黑体" w:cs="Times New Roman"/>
          <w:color w:val="auto"/>
          <w:sz w:val="32"/>
          <w:szCs w:val="32"/>
          <w:shd w:val="clear" w:color="auto" w:fill="FFFFFF"/>
        </w:rPr>
        <w:t>一、比选项目</w:t>
      </w:r>
      <w:r>
        <w:rPr>
          <w:rFonts w:hint="eastAsia" w:ascii="Times New Roman" w:eastAsia="黑体" w:cs="Times New Roman"/>
          <w:color w:val="auto"/>
          <w:sz w:val="32"/>
          <w:szCs w:val="32"/>
          <w:shd w:val="clear" w:color="auto" w:fill="FFFFFF"/>
        </w:rPr>
        <w:t>内容</w:t>
      </w:r>
      <w:bookmarkStart w:id="0" w:name="_GoBack"/>
      <w:bookmarkEnd w:id="0"/>
    </w:p>
    <w:p w14:paraId="768F8D55">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default" w:ascii="Times New Roman" w:hAnsi="Times New Roman" w:cs="Times New Roman"/>
          <w:sz w:val="32"/>
          <w:szCs w:val="32"/>
          <w:shd w:val="clear" w:color="auto" w:fill="FFFFFF"/>
        </w:rPr>
        <w:t>本次采购</w:t>
      </w:r>
      <w:r>
        <w:rPr>
          <w:rFonts w:hint="default" w:ascii="Times New Roman" w:hAnsi="Times New Roman" w:cs="Times New Roman"/>
          <w:sz w:val="32"/>
          <w:szCs w:val="32"/>
          <w:u w:val="none"/>
          <w:shd w:val="clear" w:color="auto" w:fill="FFFFFF"/>
        </w:rPr>
        <w:t>共1个项目</w:t>
      </w:r>
      <w:r>
        <w:rPr>
          <w:rFonts w:hint="eastAsia" w:ascii="仿宋_GB2312" w:hAnsi="仿宋_GB2312" w:eastAsia="仿宋_GB2312" w:cs="仿宋_GB2312"/>
          <w:sz w:val="32"/>
          <w:szCs w:val="32"/>
          <w:shd w:val="clear" w:color="auto" w:fill="FFFFFF"/>
          <w:lang w:val="en-US" w:eastAsia="zh-CN"/>
        </w:rPr>
        <w:t>，采购</w:t>
      </w:r>
      <w:r>
        <w:rPr>
          <w:rFonts w:hint="eastAsia" w:ascii="Times New Roman" w:cs="Times New Roman"/>
          <w:sz w:val="32"/>
          <w:szCs w:val="32"/>
          <w:shd w:val="clear" w:color="auto" w:fill="FFFFFF"/>
          <w:lang w:eastAsia="zh-CN"/>
        </w:rPr>
        <w:t>PDA采购项目</w:t>
      </w:r>
      <w:r>
        <w:rPr>
          <w:rFonts w:hint="eastAsia" w:ascii="仿宋_GB2312" w:hAnsi="仿宋_GB2312" w:eastAsia="仿宋_GB2312" w:cs="仿宋_GB2312"/>
          <w:sz w:val="32"/>
          <w:szCs w:val="32"/>
          <w:shd w:val="clear" w:color="auto" w:fill="FFFFFF"/>
          <w:lang w:val="en-US" w:eastAsia="zh-CN"/>
        </w:rPr>
        <w:t>，预算金额18.9万元</w:t>
      </w:r>
      <w:r>
        <w:rPr>
          <w:rFonts w:hint="eastAsia" w:hAnsi="仿宋_GB2312" w:cs="仿宋_GB2312"/>
          <w:sz w:val="32"/>
          <w:szCs w:val="32"/>
          <w:shd w:val="clear" w:color="auto" w:fill="FFFFFF"/>
          <w:lang w:val="en-US" w:eastAsia="zh-CN"/>
        </w:rPr>
        <w:t>，采购数量据实结算。</w:t>
      </w:r>
    </w:p>
    <w:tbl>
      <w:tblPr>
        <w:tblStyle w:val="7"/>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2782"/>
        <w:gridCol w:w="1394"/>
        <w:gridCol w:w="2107"/>
        <w:gridCol w:w="2107"/>
      </w:tblGrid>
      <w:tr w14:paraId="6B25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93" w:type="dxa"/>
            <w:noWrap w:val="0"/>
            <w:vAlign w:val="center"/>
          </w:tcPr>
          <w:p w14:paraId="6E3CEECF">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lang w:val="en-US" w:eastAsia="zh-CN"/>
              </w:rPr>
              <w:t>项目号</w:t>
            </w:r>
          </w:p>
        </w:tc>
        <w:tc>
          <w:tcPr>
            <w:tcW w:w="2782" w:type="dxa"/>
            <w:noWrap w:val="0"/>
            <w:vAlign w:val="center"/>
          </w:tcPr>
          <w:p w14:paraId="14E4F725">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hint="eastAsia" w:ascii="Times New Roman" w:cs="Times New Roman"/>
                <w:b/>
                <w:sz w:val="28"/>
                <w:szCs w:val="28"/>
                <w:shd w:val="clear" w:color="auto" w:fill="FFFFFF"/>
              </w:rPr>
              <w:t>标的</w:t>
            </w:r>
            <w:r>
              <w:rPr>
                <w:rFonts w:ascii="Times New Roman" w:cs="Times New Roman"/>
                <w:b/>
                <w:sz w:val="28"/>
                <w:szCs w:val="28"/>
                <w:shd w:val="clear" w:color="auto" w:fill="FFFFFF"/>
              </w:rPr>
              <w:t>名称</w:t>
            </w:r>
          </w:p>
        </w:tc>
        <w:tc>
          <w:tcPr>
            <w:tcW w:w="1394" w:type="dxa"/>
            <w:noWrap w:val="0"/>
            <w:vAlign w:val="center"/>
          </w:tcPr>
          <w:p w14:paraId="0C0BE94D">
            <w:pPr>
              <w:shd w:val="clear" w:color="auto" w:fill="FFFFFF"/>
              <w:tabs>
                <w:tab w:val="left" w:pos="720"/>
              </w:tabs>
              <w:snapToGrid w:val="0"/>
              <w:spacing w:line="400" w:lineRule="exact"/>
              <w:jc w:val="center"/>
              <w:rPr>
                <w:rFonts w:ascii="Times New Roman" w:cs="Times New Roman"/>
                <w:b/>
                <w:sz w:val="28"/>
                <w:szCs w:val="28"/>
                <w:shd w:val="clear" w:color="auto" w:fill="FFFFFF"/>
              </w:rPr>
            </w:pPr>
            <w:r>
              <w:rPr>
                <w:rFonts w:ascii="Times New Roman" w:cs="Times New Roman"/>
                <w:b/>
                <w:sz w:val="28"/>
                <w:szCs w:val="28"/>
                <w:shd w:val="clear" w:color="auto" w:fill="FFFFFF"/>
              </w:rPr>
              <w:t>数量</w:t>
            </w:r>
            <w:r>
              <w:rPr>
                <w:rFonts w:hint="eastAsia" w:ascii="Times New Roman" w:cs="Times New Roman"/>
                <w:b/>
                <w:sz w:val="28"/>
                <w:szCs w:val="28"/>
                <w:shd w:val="clear" w:color="auto" w:fill="FFFFFF"/>
              </w:rPr>
              <w:t>（</w:t>
            </w:r>
            <w:r>
              <w:rPr>
                <w:rFonts w:hint="eastAsia" w:ascii="Times New Roman" w:cs="Times New Roman"/>
                <w:b/>
                <w:sz w:val="28"/>
                <w:szCs w:val="28"/>
                <w:shd w:val="clear" w:color="auto" w:fill="FFFFFF"/>
                <w:lang w:val="en-US" w:eastAsia="zh-CN"/>
              </w:rPr>
              <w:t>项</w:t>
            </w:r>
            <w:r>
              <w:rPr>
                <w:rFonts w:hint="eastAsia" w:ascii="Times New Roman" w:cs="Times New Roman"/>
                <w:b/>
                <w:sz w:val="28"/>
                <w:szCs w:val="28"/>
                <w:shd w:val="clear" w:color="auto" w:fill="FFFFFF"/>
              </w:rPr>
              <w:t>）</w:t>
            </w:r>
          </w:p>
        </w:tc>
        <w:tc>
          <w:tcPr>
            <w:tcW w:w="2107" w:type="dxa"/>
            <w:noWrap w:val="0"/>
            <w:vAlign w:val="center"/>
          </w:tcPr>
          <w:p w14:paraId="21DD5778">
            <w:pPr>
              <w:shd w:val="clear" w:color="auto" w:fill="FFFFFF"/>
              <w:tabs>
                <w:tab w:val="left" w:pos="720"/>
              </w:tabs>
              <w:snapToGrid w:val="0"/>
              <w:spacing w:line="400" w:lineRule="exact"/>
              <w:jc w:val="center"/>
              <w:rPr>
                <w:rFonts w:hint="eastAsia" w:ascii="Times New Roman"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预算金额</w:t>
            </w:r>
          </w:p>
          <w:p w14:paraId="45B65D52">
            <w:pPr>
              <w:shd w:val="clear" w:color="auto" w:fill="FFFFFF"/>
              <w:tabs>
                <w:tab w:val="left" w:pos="720"/>
              </w:tabs>
              <w:snapToGrid w:val="0"/>
              <w:spacing w:line="400" w:lineRule="exact"/>
              <w:jc w:val="center"/>
              <w:rPr>
                <w:rFonts w:hint="default" w:ascii="Times New Roman" w:eastAsia="仿宋_GB2312"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（万元）</w:t>
            </w:r>
          </w:p>
        </w:tc>
        <w:tc>
          <w:tcPr>
            <w:tcW w:w="2107" w:type="dxa"/>
            <w:noWrap w:val="0"/>
            <w:vAlign w:val="center"/>
          </w:tcPr>
          <w:p w14:paraId="3527DC69">
            <w:pPr>
              <w:shd w:val="clear" w:color="auto" w:fill="FFFFFF"/>
              <w:tabs>
                <w:tab w:val="left" w:pos="720"/>
              </w:tabs>
              <w:snapToGrid w:val="0"/>
              <w:spacing w:line="400" w:lineRule="exact"/>
              <w:jc w:val="center"/>
              <w:rPr>
                <w:rFonts w:hint="eastAsia" w:ascii="Times New Roman"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单价限价</w:t>
            </w:r>
          </w:p>
          <w:p w14:paraId="041ABF65">
            <w:pPr>
              <w:shd w:val="clear" w:color="auto" w:fill="FFFFFF"/>
              <w:tabs>
                <w:tab w:val="left" w:pos="720"/>
              </w:tabs>
              <w:snapToGrid w:val="0"/>
              <w:spacing w:line="400" w:lineRule="exact"/>
              <w:jc w:val="center"/>
              <w:rPr>
                <w:rFonts w:hint="default" w:ascii="Times New Roman" w:cs="Times New Roman"/>
                <w:b/>
                <w:sz w:val="28"/>
                <w:szCs w:val="28"/>
                <w:shd w:val="clear" w:color="auto" w:fill="FFFFFF"/>
                <w:lang w:val="en-US" w:eastAsia="zh-CN"/>
              </w:rPr>
            </w:pPr>
            <w:r>
              <w:rPr>
                <w:rFonts w:hint="eastAsia" w:ascii="Times New Roman" w:cs="Times New Roman"/>
                <w:b/>
                <w:sz w:val="28"/>
                <w:szCs w:val="28"/>
                <w:shd w:val="clear" w:color="auto" w:fill="FFFFFF"/>
                <w:lang w:val="en-US" w:eastAsia="zh-CN"/>
              </w:rPr>
              <w:t>（元/台）</w:t>
            </w:r>
          </w:p>
        </w:tc>
      </w:tr>
      <w:tr w14:paraId="622C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93" w:type="dxa"/>
            <w:noWrap w:val="0"/>
            <w:vAlign w:val="center"/>
          </w:tcPr>
          <w:p w14:paraId="5154DCE9">
            <w:pPr>
              <w:shd w:val="clear" w:color="auto" w:fill="FFFFFF"/>
              <w:tabs>
                <w:tab w:val="left" w:pos="720"/>
              </w:tabs>
              <w:snapToGrid w:val="0"/>
              <w:spacing w:line="400" w:lineRule="exact"/>
              <w:jc w:val="center"/>
              <w:rPr>
                <w:rFonts w:hint="eastAsia" w:ascii="Times New Roman" w:eastAsia="仿宋_GB2312" w:cs="Times New Roman"/>
                <w:sz w:val="28"/>
                <w:szCs w:val="28"/>
                <w:shd w:val="clear" w:color="auto" w:fill="FFFFFF"/>
                <w:lang w:val="en-US" w:eastAsia="zh-CN"/>
              </w:rPr>
            </w:pPr>
            <w:r>
              <w:rPr>
                <w:rFonts w:hint="eastAsia" w:ascii="Times New Roman" w:cs="Times New Roman"/>
                <w:sz w:val="28"/>
                <w:szCs w:val="28"/>
                <w:shd w:val="clear" w:color="auto" w:fill="FFFFFF"/>
                <w:lang w:val="en-US" w:eastAsia="zh-CN"/>
              </w:rPr>
              <w:t>1</w:t>
            </w:r>
          </w:p>
        </w:tc>
        <w:tc>
          <w:tcPr>
            <w:tcW w:w="2782" w:type="dxa"/>
            <w:noWrap w:val="0"/>
            <w:vAlign w:val="center"/>
          </w:tcPr>
          <w:p w14:paraId="015755F5">
            <w:pPr>
              <w:shd w:val="clear" w:color="auto" w:fill="FFFFFF"/>
              <w:tabs>
                <w:tab w:val="left" w:pos="720"/>
              </w:tabs>
              <w:snapToGrid w:val="0"/>
              <w:spacing w:line="400" w:lineRule="exact"/>
              <w:jc w:val="center"/>
              <w:rPr>
                <w:rFonts w:hint="eastAsia"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PDA</w:t>
            </w:r>
          </w:p>
        </w:tc>
        <w:tc>
          <w:tcPr>
            <w:tcW w:w="1394" w:type="dxa"/>
            <w:noWrap w:val="0"/>
            <w:vAlign w:val="center"/>
          </w:tcPr>
          <w:p w14:paraId="16D05074">
            <w:pPr>
              <w:shd w:val="clear" w:color="auto" w:fill="FFFFFF"/>
              <w:tabs>
                <w:tab w:val="left" w:pos="720"/>
              </w:tabs>
              <w:snapToGrid w:val="0"/>
              <w:spacing w:line="400" w:lineRule="exact"/>
              <w:jc w:val="center"/>
              <w:rPr>
                <w:rFonts w:hint="default"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1</w:t>
            </w:r>
          </w:p>
        </w:tc>
        <w:tc>
          <w:tcPr>
            <w:tcW w:w="2107" w:type="dxa"/>
            <w:noWrap w:val="0"/>
            <w:vAlign w:val="center"/>
          </w:tcPr>
          <w:p w14:paraId="5C255B97">
            <w:pPr>
              <w:shd w:val="clear" w:color="auto" w:fill="FFFFFF"/>
              <w:tabs>
                <w:tab w:val="left" w:pos="720"/>
              </w:tabs>
              <w:snapToGrid w:val="0"/>
              <w:spacing w:line="400" w:lineRule="exact"/>
              <w:jc w:val="center"/>
              <w:rPr>
                <w:rFonts w:hint="default"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18.9</w:t>
            </w:r>
          </w:p>
        </w:tc>
        <w:tc>
          <w:tcPr>
            <w:tcW w:w="2107" w:type="dxa"/>
            <w:noWrap w:val="0"/>
            <w:vAlign w:val="center"/>
          </w:tcPr>
          <w:p w14:paraId="69E2468D">
            <w:pPr>
              <w:shd w:val="clear" w:color="auto" w:fill="FFFFFF"/>
              <w:tabs>
                <w:tab w:val="left" w:pos="720"/>
              </w:tabs>
              <w:snapToGrid w:val="0"/>
              <w:spacing w:line="400" w:lineRule="exact"/>
              <w:jc w:val="center"/>
              <w:rPr>
                <w:rFonts w:hint="default" w:ascii="Times New Roman" w:hAnsi="Times New Roman" w:cs="Times New Roman"/>
                <w:sz w:val="28"/>
                <w:szCs w:val="28"/>
                <w:shd w:val="clear" w:color="auto" w:fill="FFFFFF"/>
                <w:lang w:val="en-US" w:eastAsia="zh-CN"/>
              </w:rPr>
            </w:pPr>
            <w:r>
              <w:rPr>
                <w:rFonts w:hint="eastAsia" w:ascii="Times New Roman" w:hAnsi="Times New Roman" w:cs="Times New Roman"/>
                <w:sz w:val="28"/>
                <w:szCs w:val="28"/>
                <w:shd w:val="clear" w:color="auto" w:fill="FFFFFF"/>
                <w:lang w:val="en-US" w:eastAsia="zh-CN"/>
              </w:rPr>
              <w:t>2700</w:t>
            </w:r>
          </w:p>
        </w:tc>
      </w:tr>
    </w:tbl>
    <w:p w14:paraId="278C8AFB">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shd w:val="clear" w:color="auto" w:fill="FFFFFF"/>
        </w:rPr>
      </w:pPr>
      <w:r>
        <w:rPr>
          <w:rFonts w:hint="eastAsia" w:ascii="Times New Roman" w:eastAsia="黑体" w:cs="Times New Roman"/>
          <w:sz w:val="32"/>
          <w:szCs w:val="32"/>
          <w:shd w:val="clear" w:color="auto" w:fill="FFFFFF"/>
          <w:lang w:val="en-US" w:eastAsia="zh-CN"/>
        </w:rPr>
        <w:t>二</w:t>
      </w:r>
      <w:r>
        <w:rPr>
          <w:rFonts w:ascii="Times New Roman" w:eastAsia="黑体" w:cs="Times New Roman"/>
          <w:sz w:val="32"/>
          <w:szCs w:val="32"/>
          <w:shd w:val="clear" w:color="auto" w:fill="FFFFFF"/>
        </w:rPr>
        <w:t>、技术要求</w:t>
      </w:r>
    </w:p>
    <w:p w14:paraId="02292336">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1、CPU：≥2.2GHz主频，8核处理器。</w:t>
      </w:r>
    </w:p>
    <w:p w14:paraId="0B46B1ED">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2、操作系统：不低于Android 11.0。</w:t>
      </w:r>
    </w:p>
    <w:p w14:paraId="6CD6497F">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▲3、存储器：≥64GB ROM,≥6GB RAM,可支持≥256GB外部储存。（需提供产品说明书或产品彩页或技术白皮书或国家认可的第三方检测机构出具的检验检测报告复印件或投标人承诺函原件并加盖投标人公章）</w:t>
      </w:r>
    </w:p>
    <w:p w14:paraId="416F1BA9">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4、显示屏：≥5.5英寸；分辨率≥720*1440。</w:t>
      </w:r>
    </w:p>
    <w:p w14:paraId="41A9BD90">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▲5、触模屏 ：电容式触控，支持湿手操作，支持手套模式。（需提供产品说明书或产品彩页或技术白皮书或国家认可的第三方检测机构出具的检验检测报告复印件或投标人承诺函原件并加盖投标人公章）</w:t>
      </w:r>
    </w:p>
    <w:p w14:paraId="70EAD98E">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6、摄像头：后置摄像头≥1300万像素，前置摄像头≥500万像素，支持自动对焦。</w:t>
      </w:r>
    </w:p>
    <w:p w14:paraId="44A43403">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★7、电池≥4600mAh，连续使用≥10h</w:t>
      </w:r>
      <w:r>
        <w:rPr>
          <w:rFonts w:hint="eastAsia" w:ascii="Times New Roman" w:hAnsi="Times New Roman" w:cs="Times New Roman"/>
          <w:sz w:val="32"/>
          <w:szCs w:val="32"/>
          <w:shd w:val="clear" w:color="auto" w:fill="FFFFFF"/>
          <w:lang w:val="en-US" w:eastAsia="zh-CN"/>
        </w:rPr>
        <w:t>。</w:t>
      </w:r>
      <w:r>
        <w:rPr>
          <w:rFonts w:hint="default" w:ascii="Times New Roman" w:hAnsi="Times New Roman" w:cs="Times New Roman"/>
          <w:sz w:val="32"/>
          <w:szCs w:val="32"/>
          <w:shd w:val="clear" w:color="auto" w:fill="FFFFFF"/>
          <w:lang w:val="en-US" w:eastAsia="zh-CN"/>
        </w:rPr>
        <w:t>（需提供产品说明书或产品彩页或技术白皮书或国家认可的第三方检测机构出具的检验检测报告复印件或投标人承诺函原件并加盖投标人公章）</w:t>
      </w:r>
    </w:p>
    <w:p w14:paraId="556E1CEB">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8、重量：≤270g(含电池)</w:t>
      </w:r>
      <w:r>
        <w:rPr>
          <w:rFonts w:hint="eastAsia" w:ascii="Times New Roman" w:hAnsi="Times New Roman" w:cs="Times New Roman"/>
          <w:sz w:val="32"/>
          <w:szCs w:val="32"/>
          <w:shd w:val="clear" w:color="auto" w:fill="FFFFFF"/>
          <w:lang w:val="en-US" w:eastAsia="zh-CN"/>
        </w:rPr>
        <w:t>。</w:t>
      </w:r>
    </w:p>
    <w:p w14:paraId="6BC66138">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9、条码引擎：支持国内通用的一维条码与二维条码</w:t>
      </w:r>
      <w:r>
        <w:rPr>
          <w:rFonts w:hint="eastAsia" w:ascii="Times New Roman" w:hAnsi="Times New Roman" w:cs="Times New Roman"/>
          <w:sz w:val="32"/>
          <w:szCs w:val="32"/>
          <w:shd w:val="clear" w:color="auto" w:fill="FFFFFF"/>
          <w:lang w:val="en-US" w:eastAsia="zh-CN"/>
        </w:rPr>
        <w:t>。</w:t>
      </w:r>
    </w:p>
    <w:p w14:paraId="474E97CE">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▲10、性能：可经受不低于10次1.5米水泥地面跌落。（需提供产品说明书或产品彩页或技术白皮书或国家认可的第三方检测机构出具的检验检测报告复印件或投标人承诺函原件并加盖投标人公章）</w:t>
      </w:r>
    </w:p>
    <w:p w14:paraId="21E16A59">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▲11、防护等级：≥IP67。（需提供产品说明书或产品彩页或技术白皮书或国家认可的第三方检测机构出具的检验检测报告复印件或投标人承诺函原件并加盖投标人公章）</w:t>
      </w:r>
    </w:p>
    <w:p w14:paraId="4487F44E">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▲12、消毒：为防止感染，货物需能经受过氧化氢及酒精等擦拭。（需提供产品说明书或产品彩页或技术白皮书或国家认可的第三方检测机构出具的检验检测报告复印件或投标人承诺函原件并加盖投标人公章）</w:t>
      </w:r>
    </w:p>
    <w:p w14:paraId="57FB7B95">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13、网络制式：4G全网通，兼容移动、电信、联通，产品应具有《电信设备进网许可证》。（需提供产品说明书或产品彩页或技术白皮书或国家认可的第三方检测机构出具的检验检测报告复印件或投标人承诺函原件并加盖投标人公章）</w:t>
      </w:r>
    </w:p>
    <w:p w14:paraId="29E784F5">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14、WLAN:Wi-Fi 802.11a/b/g/n/ac/d/e/h/i/j/k/r/v/w(2.4G+5G双频Wi-Fi),支持快速漫游。</w:t>
      </w:r>
    </w:p>
    <w:p w14:paraId="4A7A461C">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15、支持防盗定位功能：设备到达境界位置，设备和后台同时报警。后台可查看所有机器状态。（需提供产品说明书或产品彩页或技术白皮书或国家认可的第三方检测机构出具的检验检测报告复印件或投标人承诺函原件并加盖投标人公章）</w:t>
      </w:r>
    </w:p>
    <w:p w14:paraId="463772DD">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16、外设接口：Type-C接口，支持15W以上快充，支持4联座充</w:t>
      </w:r>
      <w:r>
        <w:rPr>
          <w:rFonts w:hint="eastAsia" w:ascii="Times New Roman" w:hAnsi="Times New Roman" w:cs="Times New Roman"/>
          <w:sz w:val="32"/>
          <w:szCs w:val="32"/>
          <w:shd w:val="clear" w:color="auto" w:fill="FFFFFF"/>
          <w:lang w:val="en-US" w:eastAsia="zh-CN"/>
        </w:rPr>
        <w:t>。</w:t>
      </w:r>
    </w:p>
    <w:p w14:paraId="19F3856C">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▲17、抗UV荧光紫外灯、抗湿热、抗振动检测：抗UV荧光紫外灯需符合GB/T 16422.3-2022标准，抗湿热需符合GB/T 2423.3-2016标准，抗振动需符合GB/T 2423.10-2019标准。（需提供产品说明书或产品彩页或技术白皮书或国家认可的第三方检测机构出具的检验检测报告复印件或投标人承诺函原件并加盖投标人公章）</w:t>
      </w:r>
    </w:p>
    <w:p w14:paraId="3255E415">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18、可启动安全桌面，无管理员密码不能退出安全桌面；可设置应用白名单、WiFi白名单、默认启动应用；可禁用导航栏、状态栏、移动网络、WiFi、蓝牙、GPS、USB数据传输</w:t>
      </w:r>
      <w:r>
        <w:rPr>
          <w:rFonts w:hint="eastAsia" w:ascii="Times New Roman" w:hAnsi="Times New Roman" w:cs="Times New Roman"/>
          <w:sz w:val="32"/>
          <w:szCs w:val="32"/>
          <w:shd w:val="clear" w:color="auto" w:fill="FFFFFF"/>
          <w:lang w:val="en-US" w:eastAsia="zh-CN"/>
        </w:rPr>
        <w:t>。</w:t>
      </w:r>
    </w:p>
    <w:p w14:paraId="1DEF4785">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19、WiFi诊断工具：PDA需自带WiFi诊断工具，便于日常网络管理和网络排障</w:t>
      </w:r>
      <w:r>
        <w:rPr>
          <w:rFonts w:hint="eastAsia" w:ascii="Times New Roman" w:hAnsi="Times New Roman" w:cs="Times New Roman"/>
          <w:sz w:val="32"/>
          <w:szCs w:val="32"/>
          <w:shd w:val="clear" w:color="auto" w:fill="FFFFFF"/>
          <w:lang w:val="en-US" w:eastAsia="zh-CN"/>
        </w:rPr>
        <w:t>。</w:t>
      </w:r>
    </w:p>
    <w:p w14:paraId="1189D2BC">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20、设备平均无故障工作时间MTBF≥40000小时。（需提供产品说明书或产品彩页或技术白皮书或国家认可的第三方检测机构出具的检验检测报告复印件或投标人承诺函原件并加盖投标人公章）</w:t>
      </w:r>
    </w:p>
    <w:p w14:paraId="697A4C2B">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default" w:ascii="Times New Roman" w:hAnsi="Times New Roman" w:cs="Times New Roman"/>
          <w:sz w:val="32"/>
          <w:szCs w:val="32"/>
          <w:shd w:val="clear" w:color="auto" w:fill="FFFFFF"/>
          <w:lang w:val="en-US" w:eastAsia="zh-CN"/>
        </w:rPr>
        <w:t>21、UDI数据格式 可解析GS1、HIBCC、ICCBBA、MA、AHM等类型的UDI码</w:t>
      </w:r>
      <w:r>
        <w:rPr>
          <w:rFonts w:hint="eastAsia" w:ascii="Times New Roman" w:hAnsi="Times New Roman" w:cs="Times New Roman"/>
          <w:sz w:val="32"/>
          <w:szCs w:val="32"/>
          <w:shd w:val="clear" w:color="auto" w:fill="FFFFFF"/>
          <w:lang w:val="en-US" w:eastAsia="zh-CN"/>
        </w:rPr>
        <w:t>。</w:t>
      </w:r>
    </w:p>
    <w:p w14:paraId="2EF15747">
      <w:pPr>
        <w:pStyle w:val="4"/>
        <w:rPr>
          <w:rFonts w:hint="eastAsia"/>
          <w:lang w:val="en-US" w:eastAsia="zh-CN"/>
        </w:rPr>
      </w:pPr>
    </w:p>
    <w:p w14:paraId="4532FA5F">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shd w:val="clear" w:color="auto" w:fill="FFFFFF"/>
        </w:rPr>
      </w:pPr>
      <w:r>
        <w:rPr>
          <w:rFonts w:hint="eastAsia" w:ascii="Times New Roman" w:eastAsia="黑体" w:cs="Times New Roman"/>
          <w:sz w:val="32"/>
          <w:szCs w:val="32"/>
          <w:shd w:val="clear" w:color="auto" w:fill="FFFFFF"/>
          <w:lang w:val="en-US" w:eastAsia="zh-CN"/>
        </w:rPr>
        <w:t>三</w:t>
      </w:r>
      <w:r>
        <w:rPr>
          <w:rFonts w:ascii="Times New Roman" w:eastAsia="黑体" w:cs="Times New Roman"/>
          <w:sz w:val="32"/>
          <w:szCs w:val="32"/>
          <w:shd w:val="clear" w:color="auto" w:fill="FFFFFF"/>
        </w:rPr>
        <w:t>、商务要求</w:t>
      </w:r>
    </w:p>
    <w:p w14:paraId="0887FDA3">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1、交货时间：收到比选人通知后30日内送货，不可抗力因素除外。</w:t>
      </w:r>
    </w:p>
    <w:p w14:paraId="45E6B720">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2、交货地点：比选人指定地点。</w:t>
      </w:r>
    </w:p>
    <w:p w14:paraId="56858265">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3、付款方式：</w:t>
      </w:r>
      <w:r>
        <w:rPr>
          <w:rFonts w:hint="eastAsia" w:hAnsi="仿宋_GB2312" w:cs="仿宋_GB2312"/>
          <w:sz w:val="32"/>
          <w:szCs w:val="32"/>
          <w:shd w:val="clear" w:color="auto" w:fill="FFFFFF"/>
          <w:lang w:val="en-US" w:eastAsia="zh-CN"/>
        </w:rPr>
        <w:t>据实结算，</w:t>
      </w:r>
      <w:r>
        <w:rPr>
          <w:rFonts w:hint="eastAsia" w:ascii="仿宋_GB2312" w:hAnsi="仿宋_GB2312" w:eastAsia="仿宋_GB2312" w:cs="仿宋_GB2312"/>
          <w:sz w:val="32"/>
          <w:szCs w:val="32"/>
          <w:shd w:val="clear" w:color="auto" w:fill="FFFFFF"/>
          <w:lang w:val="en-US" w:eastAsia="zh-CN"/>
        </w:rPr>
        <w:t>设备安装调试验收完成且收到有效票据后</w:t>
      </w:r>
      <w:r>
        <w:rPr>
          <w:rFonts w:hint="eastAsia" w:hAnsi="仿宋_GB2312" w:cs="仿宋_GB2312"/>
          <w:sz w:val="32"/>
          <w:szCs w:val="32"/>
          <w:shd w:val="clear" w:color="auto" w:fill="FFFFFF"/>
          <w:lang w:val="en-US" w:eastAsia="zh-CN"/>
        </w:rPr>
        <w:t>10日</w:t>
      </w:r>
      <w:r>
        <w:rPr>
          <w:rFonts w:hint="eastAsia" w:ascii="仿宋_GB2312" w:hAnsi="仿宋_GB2312" w:eastAsia="仿宋_GB2312" w:cs="仿宋_GB2312"/>
          <w:sz w:val="32"/>
          <w:szCs w:val="32"/>
          <w:shd w:val="clear" w:color="auto" w:fill="FFFFFF"/>
          <w:lang w:val="en-US" w:eastAsia="zh-CN"/>
        </w:rPr>
        <w:t>内支付</w:t>
      </w:r>
      <w:r>
        <w:rPr>
          <w:rFonts w:hint="eastAsia" w:hAnsi="仿宋_GB2312" w:cs="仿宋_GB2312"/>
          <w:sz w:val="32"/>
          <w:szCs w:val="32"/>
          <w:shd w:val="clear" w:color="auto" w:fill="FFFFFF"/>
          <w:lang w:val="en-US" w:eastAsia="zh-CN"/>
        </w:rPr>
        <w:t>当前</w:t>
      </w:r>
      <w:r>
        <w:rPr>
          <w:rFonts w:hint="eastAsia" w:ascii="仿宋_GB2312" w:hAnsi="仿宋_GB2312" w:eastAsia="仿宋_GB2312" w:cs="仿宋_GB2312"/>
          <w:sz w:val="32"/>
          <w:szCs w:val="32"/>
          <w:shd w:val="clear" w:color="auto" w:fill="FFFFFF"/>
          <w:lang w:val="en-US" w:eastAsia="zh-CN"/>
        </w:rPr>
        <w:t>设备款的</w:t>
      </w:r>
      <w:r>
        <w:rPr>
          <w:rFonts w:hint="eastAsia" w:hAnsi="仿宋_GB2312" w:cs="仿宋_GB2312"/>
          <w:sz w:val="32"/>
          <w:szCs w:val="32"/>
          <w:shd w:val="clear" w:color="auto" w:fill="FFFFFF"/>
          <w:lang w:val="en-US" w:eastAsia="zh-CN"/>
        </w:rPr>
        <w:t>100</w:t>
      </w:r>
      <w:r>
        <w:rPr>
          <w:rFonts w:hint="eastAsia" w:ascii="仿宋_GB2312" w:hAnsi="仿宋_GB2312" w:eastAsia="仿宋_GB2312" w:cs="仿宋_GB2312"/>
          <w:sz w:val="32"/>
          <w:szCs w:val="32"/>
          <w:shd w:val="clear" w:color="auto" w:fill="FFFFFF"/>
          <w:lang w:val="en-US" w:eastAsia="zh-CN"/>
        </w:rPr>
        <w:t>%。</w:t>
      </w:r>
    </w:p>
    <w:p w14:paraId="1CA0BBE3">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4、质量问题：</w:t>
      </w:r>
    </w:p>
    <w:p w14:paraId="4103029E">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①、乙方须提供全新的货物(含零部件、配件等),表面无划伤、无碰撞痕迹，且权属清楚，不得侵害他人的知识产权。</w:t>
      </w:r>
    </w:p>
    <w:p w14:paraId="44CC024D">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②、货物必须符合或优于国家标准，以及本项目招标文件的质量要求和技术指标与出厂标准。</w:t>
      </w:r>
    </w:p>
    <w:p w14:paraId="399C8D38">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③、货物制造质量出现问题，乙方应负责三包(包修、包换、包退),费用由乙方负担，甲方有权到乙方生产场地检查货物质量和生产进度。</w:t>
      </w:r>
    </w:p>
    <w:p w14:paraId="6AA913DE">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整机设备质保期：验收合格之日起3年。自设备安装调试完毕、设备运行正常、比选人和中选人双方验收合格签名确认之日起计算质保期。质保期内中选人应负责设备维修及抢修，产生的所有费用由中选人承担。接到报修电话30分钟内给予解答，2小时内采取措施，派技术人员在24小时内进行现场技术支持，若24小时内解决不了问题，提供备用机。中选人保证年开机率大于95％（365天/年计算），若≤95％则相应延长保修期。</w:t>
      </w:r>
    </w:p>
    <w:p w14:paraId="7C82971B">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5.验收要求：</w:t>
      </w:r>
      <w:r>
        <w:rPr>
          <w:rFonts w:hint="eastAsia" w:hAnsi="仿宋_GB2312" w:cs="仿宋_GB2312"/>
          <w:sz w:val="32"/>
          <w:szCs w:val="32"/>
          <w:shd w:val="clear" w:color="auto" w:fill="FFFFFF"/>
          <w:lang w:val="en-US" w:eastAsia="zh-CN"/>
        </w:rPr>
        <w:t>按照</w:t>
      </w:r>
      <w:r>
        <w:rPr>
          <w:rFonts w:hint="eastAsia" w:ascii="仿宋_GB2312" w:hAnsi="仿宋_GB2312" w:eastAsia="仿宋_GB2312" w:cs="仿宋_GB2312"/>
          <w:sz w:val="32"/>
          <w:szCs w:val="32"/>
          <w:shd w:val="clear" w:color="auto" w:fill="FFFFFF"/>
          <w:lang w:val="en-US" w:eastAsia="zh-CN"/>
        </w:rPr>
        <w:t>相关法律法规的要求进行履约验收。</w:t>
      </w:r>
    </w:p>
    <w:p w14:paraId="06F5A25C">
      <w:pPr>
        <w:shd w:val="clear" w:color="auto" w:fill="FFFFFF"/>
        <w:tabs>
          <w:tab w:val="left" w:pos="720"/>
          <w:tab w:val="left" w:pos="900"/>
        </w:tabs>
        <w:adjustRightInd w:val="0"/>
        <w:snapToGrid w:val="0"/>
        <w:spacing w:line="560" w:lineRule="exact"/>
        <w:ind w:firstLine="640" w:firstLineChars="200"/>
        <w:rPr>
          <w:rFonts w:hint="default" w:ascii="Times New Roman" w:hAnsi="Times New Roman" w:cs="Times New Roman"/>
          <w:sz w:val="32"/>
          <w:szCs w:val="32"/>
          <w:shd w:val="clear" w:color="auto" w:fill="FFFFFF"/>
          <w:lang w:val="en-US" w:eastAsia="zh-CN"/>
        </w:rPr>
      </w:pPr>
      <w:r>
        <w:rPr>
          <w:rFonts w:hint="eastAsia" w:ascii="Times New Roman" w:cs="Times New Roman"/>
          <w:sz w:val="32"/>
          <w:szCs w:val="32"/>
          <w:shd w:val="clear" w:color="auto" w:fill="FFFFFF"/>
        </w:rPr>
        <w:t>注：本章中标注“★”的条款为实质性要求，未响应或不满足，按无效响应处理。本章中标注“</w:t>
      </w:r>
      <w:r>
        <w:rPr>
          <w:rFonts w:hint="default" w:ascii="Times New Roman" w:hAnsi="Times New Roman" w:cs="Times New Roman"/>
          <w:sz w:val="32"/>
          <w:szCs w:val="32"/>
          <w:shd w:val="clear" w:color="auto" w:fill="FFFFFF"/>
          <w:lang w:val="en-US" w:eastAsia="zh-CN"/>
        </w:rPr>
        <w:t>▲</w:t>
      </w:r>
      <w:r>
        <w:rPr>
          <w:rFonts w:hint="eastAsia" w:ascii="Times New Roman" w:cs="Times New Roman"/>
          <w:sz w:val="32"/>
          <w:szCs w:val="32"/>
          <w:shd w:val="clear" w:color="auto" w:fill="FFFFFF"/>
        </w:rPr>
        <w:t>”的条款</w:t>
      </w:r>
      <w:r>
        <w:rPr>
          <w:rFonts w:hint="eastAsia" w:ascii="Times New Roman" w:cs="Times New Roman"/>
          <w:sz w:val="32"/>
          <w:szCs w:val="32"/>
          <w:shd w:val="clear" w:color="auto" w:fill="FFFFFF"/>
          <w:lang w:val="en-US" w:eastAsia="zh-CN"/>
        </w:rPr>
        <w:t>为重要性参数。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5F58E2-7D9F-402F-925E-452062297A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5DCAF41-B68A-4160-BCCD-0A69AD52A9D6}"/>
  </w:font>
  <w:font w:name="仿宋_GB2312">
    <w:altName w:val="仿宋"/>
    <w:panose1 w:val="02010609030101010101"/>
    <w:charset w:val="86"/>
    <w:family w:val="modern"/>
    <w:pitch w:val="default"/>
    <w:sig w:usb0="00000000" w:usb1="00000000" w:usb2="00000000" w:usb3="00000000" w:csb0="00040000" w:csb1="00000000"/>
    <w:embedRegular r:id="rId3" w:fontKey="{14AE4537-B5C0-42AD-A4D9-881767F4594B}"/>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D1D54360-9304-479D-975B-F0966C13EFEA}"/>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BhYzU5NmFlY2Q4MDk0YWVmZTU1YWVjYmNmZTkifQ=="/>
  </w:docVars>
  <w:rsids>
    <w:rsidRoot w:val="13683CA5"/>
    <w:rsid w:val="0B910F3B"/>
    <w:rsid w:val="13683CA5"/>
    <w:rsid w:val="3933030F"/>
    <w:rsid w:val="48A56F3E"/>
    <w:rsid w:val="55047B2C"/>
    <w:rsid w:val="6F69270C"/>
    <w:rsid w:val="71E7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99"/>
    <w:pPr>
      <w:spacing w:line="500" w:lineRule="exact"/>
    </w:pPr>
    <w:rPr>
      <w:b/>
      <w:bCs/>
      <w:sz w:val="24"/>
      <w:szCs w:val="24"/>
    </w:rPr>
  </w:style>
  <w:style w:type="paragraph" w:styleId="4">
    <w:name w:val="Body Text"/>
    <w:basedOn w:val="1"/>
    <w:next w:val="5"/>
    <w:qFormat/>
    <w:uiPriority w:val="0"/>
    <w:pPr>
      <w:spacing w:after="120"/>
    </w:pPr>
    <w:rPr>
      <w:rFonts w:ascii="等线" w:hAnsi="等线" w:eastAsia="Times New Roman" w:cs="Times New Roman"/>
      <w:sz w:val="21"/>
      <w:szCs w:val="24"/>
    </w:rPr>
  </w:style>
  <w:style w:type="paragraph" w:styleId="5">
    <w:name w:val="Body Text First Indent"/>
    <w:basedOn w:val="4"/>
    <w:next w:val="6"/>
    <w:qFormat/>
    <w:uiPriority w:val="0"/>
    <w:pPr>
      <w:ind w:firstLine="420" w:firstLineChars="100"/>
    </w:pPr>
  </w:style>
  <w:style w:type="paragraph" w:styleId="6">
    <w:name w:val="Plain Text"/>
    <w:basedOn w:val="1"/>
    <w:next w:val="1"/>
    <w:qFormat/>
    <w:uiPriority w:val="0"/>
    <w:rPr>
      <w:rFonts w:ascii="宋体" w:hAnsi="Courier New" w:eastAsia="Times New Roman" w:cs="Times New Roman"/>
      <w:sz w:val="21"/>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1102</Words>
  <Characters>1265</Characters>
  <Lines>0</Lines>
  <Paragraphs>0</Paragraphs>
  <TotalTime>0</TotalTime>
  <ScaleCrop>false</ScaleCrop>
  <LinksUpToDate>false</LinksUpToDate>
  <CharactersWithSpaces>1276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枫</cp:lastModifiedBy>
  <dcterms:modified xsi:type="dcterms:W3CDTF">2026-03-03T01:35:18Z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C953EDF3BCED4EEBAE35A113EDBC8BCC_11</vt:lpwstr>
  </property>
  <property fmtid="{D5CDD505-2E9C-101B-9397-08002B2CF9AE}" pid="4" name="KSOTemplateDocerSaveRecord">
    <vt:lpwstr>eyJoZGlkIjoiYjRmZjhlYTkwNGFhY2Y4MmQxMGFmZWQxNmZjODhmMjYiLCJ1c2VySWQiOiI0NjQ3MTU4MTMifQ==</vt:lpwstr>
  </property>
</Properties>
</file>