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D1E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1ED179A0">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3AFB2933">
      <w:pPr>
        <w:pStyle w:val="2"/>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p>
    <w:p w14:paraId="1B9EC98C">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，采购移动护理工作站采购项目，预算金额18万元。</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4640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34A559C2">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1D473043">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442560CF">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（台）</w:t>
            </w:r>
          </w:p>
        </w:tc>
        <w:tc>
          <w:tcPr>
            <w:tcW w:w="2539" w:type="dxa"/>
            <w:noWrap w:val="0"/>
            <w:vAlign w:val="center"/>
          </w:tcPr>
          <w:p w14:paraId="06829D06">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4A30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17F772C7">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5BD7D1AA">
            <w:pPr>
              <w:shd w:val="clear" w:color="auto" w:fill="FFFFFF"/>
              <w:tabs>
                <w:tab w:val="left" w:pos="720"/>
              </w:tabs>
              <w:snapToGrid w:val="0"/>
              <w:spacing w:line="400" w:lineRule="exact"/>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移动护理工作站</w:t>
            </w:r>
          </w:p>
        </w:tc>
        <w:tc>
          <w:tcPr>
            <w:tcW w:w="1680" w:type="dxa"/>
            <w:noWrap w:val="0"/>
            <w:vAlign w:val="center"/>
          </w:tcPr>
          <w:p w14:paraId="5F4E7AC8">
            <w:pPr>
              <w:shd w:val="clear" w:color="auto" w:fill="FFFFFF"/>
              <w:tabs>
                <w:tab w:val="left" w:pos="720"/>
              </w:tabs>
              <w:snapToGrid w:val="0"/>
              <w:spacing w:line="400" w:lineRule="exact"/>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12</w:t>
            </w:r>
          </w:p>
        </w:tc>
        <w:tc>
          <w:tcPr>
            <w:tcW w:w="2539" w:type="dxa"/>
            <w:noWrap w:val="0"/>
            <w:vAlign w:val="center"/>
          </w:tcPr>
          <w:p w14:paraId="0F23069D">
            <w:pPr>
              <w:shd w:val="clear" w:color="auto" w:fill="FFFFFF"/>
              <w:tabs>
                <w:tab w:val="left" w:pos="720"/>
              </w:tabs>
              <w:snapToGrid w:val="0"/>
              <w:spacing w:line="400" w:lineRule="exact"/>
              <w:jc w:val="center"/>
              <w:rPr>
                <w:rFonts w:hint="default" w:ascii="Times New Roman" w:hAnsi="Times New Roman" w:cs="Times New Roman"/>
                <w:sz w:val="28"/>
                <w:szCs w:val="28"/>
                <w:shd w:val="clear" w:color="auto" w:fill="FFFFFF"/>
                <w:lang w:val="en-US" w:eastAsia="zh-CN"/>
              </w:rPr>
            </w:pPr>
            <w:r>
              <w:rPr>
                <w:rFonts w:hint="default" w:ascii="Times New Roman" w:hAnsi="Times New Roman" w:cs="Times New Roman"/>
                <w:sz w:val="28"/>
                <w:szCs w:val="28"/>
                <w:shd w:val="clear" w:color="auto" w:fill="FFFFFF"/>
                <w:lang w:val="en-US" w:eastAsia="zh-CN"/>
              </w:rPr>
              <w:t>18</w:t>
            </w:r>
          </w:p>
        </w:tc>
      </w:tr>
    </w:tbl>
    <w:p w14:paraId="691D11B3">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5F68E59C">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工作台面及把手:工作台面光滑美观,可直接使用普通光电鼠标,台面无缝隙。台面（不含把手和键盘托）尺寸≥400mm*400mm，台面及把手为塑料无缝一体成型，把手与台面之间无螺丝固定，把手两端直接与台面相连为封闭式设计。</w:t>
      </w:r>
    </w:p>
    <w:p w14:paraId="67228342">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▲2、车体用材:车身主体结构应为由高等级医疗专用塑料和钢及高强度铝材组和而成。耐受酒精、洗必泰、施康等医院常用消毒剂擦拭消毒，抗菌率不低于99.9%。</w:t>
      </w:r>
    </w:p>
    <w:p w14:paraId="50AB022D">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立柱:结构稳定,支持电动升降,行程≥350mm;电推杆负重≥80kg；升降寿命≥10000次（需提供的第三方检测报告作为佐证材料）。预留扩展槽,可配置2个支撑托架,本次配置一个打印机托盘架（可放一台A4打印机和条码打印机）,新增托盘不另外收取费用。</w:t>
      </w:r>
    </w:p>
    <w:p w14:paraId="30B04941">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4、显示器支架:可悬挂显示器,承重≥10KG,内部隐藏式走线不外露。显示器高度调节≥15mm,支持俯角≥15°,仰角≥30°调节,左右摆动角度≥60˚，可竖屏使用。</w:t>
      </w:r>
    </w:p>
    <w:p w14:paraId="41975DDF">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▲5、显示器模块:尺寸≥23.8英寸,分辨率≥1920x1080,内置扬声器,至少支持DP或HDMI接口。具备电量指示灯。（提供百分比电量显示灯位于显示器固定支架的真机实物照片证明）</w:t>
      </w:r>
    </w:p>
    <w:p w14:paraId="18DC630F">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6、脚轮:医用静音脚轮,低滚动阻力设计,具备防缠绕功能;四个万向轮,至少两个带刹车功能。</w:t>
      </w:r>
    </w:p>
    <w:p w14:paraId="234D04D1">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7、键盘托架:设置独立抽出式键盘托架。可放置普通全尺寸键盘。</w:t>
      </w:r>
    </w:p>
    <w:p w14:paraId="282F0DC1">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8、抽尼:配置2层带锁抽尼,支持内置分隔板,方便放置护理用品如血压计、体温枪、胎心多普勒等小物品;抽尼导轨为高强度静音阻尼滑轨,带自吸功能。</w:t>
      </w:r>
    </w:p>
    <w:p w14:paraId="4EFD2990">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9、操作系统：</w:t>
      </w:r>
    </w:p>
    <w:p w14:paraId="3D598410">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CPU：主频不低于2.5GHz  核心数不低于8核</w:t>
      </w:r>
    </w:p>
    <w:p w14:paraId="0BE04B2D">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内存：≥8GB 内存</w:t>
      </w:r>
    </w:p>
    <w:p w14:paraId="3DA07260">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固态硬盘：容量≥512GB</w:t>
      </w:r>
    </w:p>
    <w:p w14:paraId="4F32E36B">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操作系统：支持不低于windows 11专业版</w:t>
      </w:r>
    </w:p>
    <w:p w14:paraId="4EF7D26E">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网卡：支持2.4G/5G Hz Wifi网络，支持802.11 b/g/n/ac以上标准</w:t>
      </w:r>
    </w:p>
    <w:p w14:paraId="198ECC81">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接口：USB3.0≥2个，USB2.0≥4个；RJ45网口≥1个，HDMI≥1个</w:t>
      </w:r>
    </w:p>
    <w:p w14:paraId="42D1E9E5">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▲10、底座：采用改良工程塑胶ABS一体成型的抗菌材质。（需提供含有CNAS标志的第三方检测报告作为佐证材料）</w:t>
      </w:r>
    </w:p>
    <w:p w14:paraId="18366DC4">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11、电池：磷酸铁锂材质，供电功率≥2000W，电池采用机身一体化设计，杜绝外挂，在车身底部有电池舱存放电池及电源系统，用于整体设备的直流与交流的电压转换和供电；以保证不同设备的用电，如A4打印机和条码打印机等，并保证整机续航时间≥8小时；</w:t>
      </w:r>
    </w:p>
    <w:p w14:paraId="58FAEFF6">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12、电路安全：电池与供电系统采用100A电缆线连接，并配有空气开关保护装置，保障供电系统的安全性，防止过压、过流、欠压、过充、过放。</w:t>
      </w:r>
    </w:p>
    <w:p w14:paraId="4DEE3AB4">
      <w:pPr>
        <w:shd w:val="clear" w:color="auto" w:fill="FFFFFF"/>
        <w:tabs>
          <w:tab w:val="left" w:pos="720"/>
          <w:tab w:val="left" w:pos="900"/>
        </w:tabs>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Times New Roman" w:cs="Times New Roman"/>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13、电池符合强制性产品认证实施规则，提供CCC认证</w:t>
      </w:r>
      <w:r>
        <w:rPr>
          <w:rFonts w:hint="eastAsia" w:hAnsi="仿宋_GB2312" w:cs="仿宋_GB2312"/>
          <w:sz w:val="32"/>
          <w:szCs w:val="32"/>
          <w:shd w:val="clear" w:color="auto" w:fill="FFFFFF"/>
          <w:lang w:val="en-US" w:eastAsia="zh-CN"/>
        </w:rPr>
        <w:t>。</w:t>
      </w:r>
    </w:p>
    <w:p w14:paraId="60D1263D">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r>
        <w:rPr>
          <w:rFonts w:hint="eastAsia" w:hAnsi="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en-US" w:eastAsia="zh-CN"/>
        </w:rPr>
        <w:t>其他：可根据院方要求对推车进行调整,对整车配件安装拆卸,不另外收取费用。（提供承诺书并加盖鲜章）</w:t>
      </w:r>
    </w:p>
    <w:p w14:paraId="197F367A">
      <w:pPr>
        <w:shd w:val="clear" w:color="auto" w:fill="FFFFFF"/>
        <w:tabs>
          <w:tab w:val="left" w:pos="720"/>
          <w:tab w:val="left" w:pos="900"/>
        </w:tabs>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w:t>
      </w:r>
      <w:r>
        <w:rPr>
          <w:rFonts w:hint="eastAsia" w:hAnsi="仿宋_GB2312" w:cs="仿宋_GB2312"/>
          <w:sz w:val="32"/>
          <w:szCs w:val="32"/>
          <w:shd w:val="clear" w:color="auto" w:fill="FFFFFF"/>
          <w:lang w:val="en-US" w:eastAsia="zh-CN"/>
        </w:rPr>
        <w:t>15、提供产品的说明书和详细彩色图片</w:t>
      </w:r>
    </w:p>
    <w:p w14:paraId="2F588662">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cs="Times New Roman"/>
          <w:sz w:val="32"/>
          <w:szCs w:val="32"/>
          <w:shd w:val="clear" w:color="auto" w:fill="FFFFFF"/>
        </w:rPr>
        <w:t>★</w:t>
      </w: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793412E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1、交货时间：收到比选人通知后30日内送货，不可抗力因素除外。</w:t>
      </w:r>
    </w:p>
    <w:p w14:paraId="060D956F">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2、交货地点：比选人指定地点。</w:t>
      </w:r>
    </w:p>
    <w:p w14:paraId="5096D014">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3、付款方式：设备安装调试验收完成且收到有效票据后</w:t>
      </w:r>
      <w:r>
        <w:rPr>
          <w:rFonts w:hint="eastAsia" w:hAnsi="仿宋_GB2312" w:cs="仿宋_GB2312"/>
          <w:sz w:val="32"/>
          <w:szCs w:val="32"/>
          <w:shd w:val="clear" w:color="auto" w:fill="FFFFFF"/>
          <w:lang w:val="en-US" w:eastAsia="zh-CN"/>
        </w:rPr>
        <w:t>10日</w:t>
      </w:r>
      <w:r>
        <w:rPr>
          <w:rFonts w:hint="eastAsia" w:ascii="仿宋_GB2312" w:hAnsi="仿宋_GB2312" w:eastAsia="仿宋_GB2312" w:cs="仿宋_GB2312"/>
          <w:sz w:val="32"/>
          <w:szCs w:val="32"/>
          <w:shd w:val="clear" w:color="auto" w:fill="FFFFFF"/>
          <w:lang w:val="en-US" w:eastAsia="zh-CN"/>
        </w:rPr>
        <w:t>内支付设备款的</w:t>
      </w:r>
      <w:r>
        <w:rPr>
          <w:rFonts w:hint="eastAsia" w:hAnsi="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lang w:val="en-US" w:eastAsia="zh-CN"/>
        </w:rPr>
        <w:t>0%，设备剩余款项在质保期满无质量问题且收到有效票据后支付</w:t>
      </w:r>
      <w:r>
        <w:rPr>
          <w:rFonts w:hint="eastAsia" w:hAnsi="仿宋_GB2312" w:cs="仿宋_GB2312"/>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lang w:val="en-US" w:eastAsia="zh-CN"/>
        </w:rPr>
        <w:t>。</w:t>
      </w:r>
    </w:p>
    <w:p w14:paraId="797FA65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4、质量问题：</w:t>
      </w:r>
    </w:p>
    <w:p w14:paraId="467B959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①、乙方须提供全新的货物(含零部件、配件等),表面无划伤、无碰撞痕迹，且权属清楚，不得侵害他人的知识产权。</w:t>
      </w:r>
    </w:p>
    <w:p w14:paraId="4B0C381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②、货物必须符合或优于国家(行业)标准，以及本项目招标文件的质量要求和技术指标与出厂标准。</w:t>
      </w:r>
    </w:p>
    <w:p w14:paraId="4154EC2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③、货物制造质量出现问题，乙方应负责三包(包修、包换、包退),费用由乙方负担，甲方有权到乙方生产场地检查货物质量和生产进度。</w:t>
      </w:r>
    </w:p>
    <w:p w14:paraId="05ADA3B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整机设备质保期：验收合格之日起3年。自设备安装调试完毕、设备运行正常、比选人和中选人双方验收合格签名确认之日起计算质保期。质保期内中选人应负责设备维修及抢修，产生的所有费用由中选人承担。接到报修电话30分钟内给予解答，2小时内采取措施，派技术人员在24小时内进行现场技术支持，若24小时内解决不了问题，提供备用机。中选人保证年开机率大于95％（365天/年计算），若≤95％则相应延长保修期。</w:t>
      </w:r>
    </w:p>
    <w:p w14:paraId="10F8A7A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09B3E0DC">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sz w:val="32"/>
          <w:szCs w:val="32"/>
          <w:shd w:val="clear" w:color="auto" w:fill="FFFFFF"/>
        </w:rPr>
      </w:pPr>
      <w:r>
        <w:rPr>
          <w:rFonts w:hint="eastAsia" w:ascii="Times New Roman" w:cs="Times New Roman"/>
          <w:sz w:val="32"/>
          <w:szCs w:val="32"/>
          <w:shd w:val="clear" w:color="auto" w:fill="FFFFFF"/>
        </w:rPr>
        <w:t>注：本章中标注“★”的条款为实质性要求，未响应或不满足，按无效响应处理。本章中标注“</w:t>
      </w:r>
      <w:r>
        <w:rPr>
          <w:rFonts w:hint="default" w:ascii="Times New Roman" w:hAnsi="Times New Roman" w:cs="Times New Roman"/>
          <w:sz w:val="32"/>
          <w:szCs w:val="32"/>
          <w:shd w:val="clear" w:color="auto" w:fill="FFFFFF"/>
          <w:lang w:val="en-US" w:eastAsia="zh-CN"/>
        </w:rPr>
        <w:t>▲</w:t>
      </w:r>
      <w:r>
        <w:rPr>
          <w:rFonts w:hint="eastAsia" w:ascii="Times New Roman" w:cs="Times New Roman"/>
          <w:sz w:val="32"/>
          <w:szCs w:val="32"/>
          <w:shd w:val="clear" w:color="auto" w:fill="FFFFFF"/>
        </w:rPr>
        <w:t>”的条款</w:t>
      </w:r>
      <w:r>
        <w:rPr>
          <w:rFonts w:hint="eastAsia" w:ascii="Times New Roman" w:cs="Times New Roman"/>
          <w:sz w:val="32"/>
          <w:szCs w:val="32"/>
          <w:shd w:val="clear" w:color="auto" w:fill="FFFFFF"/>
          <w:lang w:val="en-US" w:eastAsia="zh-CN"/>
        </w:rPr>
        <w:t>为重要性参数。</w:t>
      </w:r>
    </w:p>
    <w:p w14:paraId="017641F0">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161BFB-9328-4BDE-971C-09FC53201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63559D-C7E9-4936-AF10-A09E1F2DBC69}"/>
  </w:font>
  <w:font w:name="仿宋_GB2312">
    <w:altName w:val="仿宋"/>
    <w:panose1 w:val="02010609030101010101"/>
    <w:charset w:val="86"/>
    <w:family w:val="modern"/>
    <w:pitch w:val="default"/>
    <w:sig w:usb0="00000000" w:usb1="00000000" w:usb2="00000000" w:usb3="00000000" w:csb0="00040000" w:csb1="00000000"/>
    <w:embedRegular r:id="rId3" w:fontKey="{0CB0D411-4916-4B16-9495-728E64063445}"/>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C101E39F-8CA9-485F-B982-E9F9836E67F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3933030F"/>
    <w:rsid w:val="48A56F3E"/>
    <w:rsid w:val="63C61C14"/>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1102</Words>
  <Characters>1265</Characters>
  <Lines>0</Lines>
  <Paragraphs>0</Paragraphs>
  <TotalTime>0</TotalTime>
  <ScaleCrop>false</ScaleCrop>
  <LinksUpToDate>false</LinksUpToDate>
  <CharactersWithSpaces>1276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2026-03-03T01:35:57Z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