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35F89">
      <w:pPr>
        <w:keepNext/>
        <w:keepLines/>
        <w:pageBreakBefore w:val="0"/>
        <w:widowControl w:val="0"/>
        <w:numPr>
          <w:ilvl w:val="0"/>
          <w:numId w:val="0"/>
        </w:numPr>
        <w:kinsoku/>
        <w:wordWrap/>
        <w:overflowPunct/>
        <w:topLinePunct w:val="0"/>
        <w:autoSpaceDE/>
        <w:autoSpaceDN/>
        <w:bidi w:val="0"/>
        <w:adjustRightInd w:val="0"/>
        <w:snapToGrid w:val="0"/>
        <w:spacing w:beforeLines="0" w:beforeAutospacing="0" w:afterLines="0" w:afterAutospacing="0" w:line="240" w:lineRule="auto"/>
        <w:jc w:val="both"/>
        <w:textAlignment w:val="auto"/>
        <w:outlineLvl w:val="0"/>
        <w:rPr>
          <w:rFonts w:hint="default" w:ascii="Times New Roman" w:hAnsi="Times New Roman" w:eastAsia="方正小标宋_GBK" w:cs="Times New Roman"/>
          <w:b w:val="0"/>
          <w:bCs/>
          <w:kern w:val="44"/>
          <w:sz w:val="30"/>
          <w:szCs w:val="30"/>
          <w:highlight w:val="none"/>
          <w:lang w:val="en-US" w:eastAsia="zh-CN" w:bidi="ar-SA"/>
        </w:rPr>
      </w:pPr>
      <w:r>
        <w:rPr>
          <w:rFonts w:hint="default" w:ascii="Times New Roman" w:hAnsi="Times New Roman" w:eastAsia="方正小标宋_GBK" w:cs="Times New Roman"/>
          <w:b w:val="0"/>
          <w:bCs/>
          <w:kern w:val="44"/>
          <w:sz w:val="30"/>
          <w:szCs w:val="30"/>
          <w:highlight w:val="none"/>
          <w:lang w:val="en-US" w:eastAsia="zh-CN" w:bidi="ar-SA"/>
        </w:rPr>
        <w:t>附件</w:t>
      </w:r>
    </w:p>
    <w:p w14:paraId="60A93FA4">
      <w:pPr>
        <w:pStyle w:val="2"/>
        <w:keepNext/>
        <w:keepLines/>
        <w:pageBreakBefore w:val="0"/>
        <w:widowControl w:val="0"/>
        <w:numPr>
          <w:ilvl w:val="0"/>
          <w:numId w:val="0"/>
        </w:numPr>
        <w:kinsoku/>
        <w:wordWrap/>
        <w:overflowPunct/>
        <w:topLinePunct w:val="0"/>
        <w:autoSpaceDE/>
        <w:autoSpaceDN/>
        <w:bidi w:val="0"/>
        <w:adjustRightInd/>
        <w:snapToGrid/>
        <w:spacing w:before="0" w:after="0" w:line="240" w:lineRule="auto"/>
        <w:jc w:val="center"/>
        <w:textAlignment w:val="auto"/>
        <w:rPr>
          <w:rFonts w:hint="eastAsia" w:ascii="方正小标宋_GBK" w:hAnsi="方正小标宋_GBK" w:eastAsia="方正小标宋_GBK" w:cs="方正小标宋_GBK"/>
          <w:b w:val="0"/>
          <w:bCs/>
          <w:kern w:val="44"/>
          <w:sz w:val="44"/>
          <w:szCs w:val="36"/>
          <w:highlight w:val="none"/>
          <w:lang w:val="en-US" w:eastAsia="zh-CN" w:bidi="ar-SA"/>
        </w:rPr>
      </w:pPr>
      <w:bookmarkStart w:id="0" w:name="_Toc481"/>
      <w:r>
        <w:rPr>
          <w:rFonts w:hint="eastAsia" w:ascii="方正小标宋_GBK" w:hAnsi="方正小标宋_GBK" w:eastAsia="方正小标宋_GBK" w:cs="方正小标宋_GBK"/>
          <w:b w:val="0"/>
          <w:bCs/>
          <w:kern w:val="44"/>
          <w:sz w:val="44"/>
          <w:szCs w:val="36"/>
          <w:highlight w:val="none"/>
          <w:lang w:val="en-US" w:eastAsia="zh-CN" w:bidi="ar-SA"/>
        </w:rPr>
        <w:t>项目</w:t>
      </w:r>
      <w:bookmarkEnd w:id="0"/>
      <w:r>
        <w:rPr>
          <w:rFonts w:hint="eastAsia" w:ascii="方正小标宋_GBK" w:hAnsi="方正小标宋_GBK" w:eastAsia="方正小标宋_GBK" w:cs="方正小标宋_GBK"/>
          <w:b w:val="0"/>
          <w:bCs/>
          <w:kern w:val="44"/>
          <w:sz w:val="44"/>
          <w:szCs w:val="36"/>
          <w:highlight w:val="none"/>
          <w:lang w:val="en-US" w:eastAsia="zh-CN" w:bidi="ar-SA"/>
        </w:rPr>
        <w:t>采购需求</w:t>
      </w:r>
    </w:p>
    <w:p w14:paraId="77024486">
      <w:pPr>
        <w:shd w:val="clear" w:color="auto" w:fill="FFFFFF"/>
        <w:tabs>
          <w:tab w:val="left" w:pos="720"/>
          <w:tab w:val="left" w:pos="900"/>
        </w:tabs>
        <w:adjustRightInd w:val="0"/>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一、比选项目内容</w:t>
      </w:r>
    </w:p>
    <w:p w14:paraId="7E49E64A">
      <w:pPr>
        <w:shd w:val="clear" w:color="auto" w:fill="FFFFFF"/>
        <w:tabs>
          <w:tab w:val="left" w:pos="720"/>
          <w:tab w:val="left" w:pos="900"/>
        </w:tabs>
        <w:adjustRightInd w:val="0"/>
        <w:snapToGrid w:val="0"/>
        <w:spacing w:line="560"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本项目共1个包件，</w:t>
      </w:r>
      <w:r>
        <w:rPr>
          <w:rFonts w:hint="eastAsia" w:ascii="仿宋_GB2312" w:hAnsi="仿宋_GB2312" w:eastAsia="仿宋_GB2312" w:cs="仿宋_GB2312"/>
          <w:sz w:val="32"/>
          <w:szCs w:val="32"/>
          <w:highlight w:val="none"/>
          <w:shd w:val="clear" w:color="auto" w:fill="FFFFFF"/>
        </w:rPr>
        <w:t>采购</w:t>
      </w:r>
      <w:r>
        <w:rPr>
          <w:rFonts w:hint="eastAsia" w:ascii="仿宋_GB2312" w:hAnsi="仿宋_GB2312" w:eastAsia="仿宋_GB2312" w:cs="仿宋_GB2312"/>
          <w:sz w:val="32"/>
          <w:szCs w:val="32"/>
          <w:highlight w:val="none"/>
          <w:shd w:val="clear" w:color="auto" w:fill="FFFFFF"/>
          <w:lang w:eastAsia="zh-CN"/>
        </w:rPr>
        <w:t>“2026医教研管学术月活动”会务服务项目</w:t>
      </w:r>
      <w:r>
        <w:rPr>
          <w:rFonts w:hint="eastAsia" w:ascii="仿宋_GB2312" w:hAnsi="仿宋_GB2312" w:eastAsia="仿宋_GB2312" w:cs="仿宋_GB2312"/>
          <w:sz w:val="32"/>
          <w:szCs w:val="32"/>
          <w:highlight w:val="none"/>
          <w:shd w:val="clear" w:color="auto" w:fill="FFFFFF"/>
        </w:rPr>
        <w:t>，预</w:t>
      </w:r>
      <w:r>
        <w:rPr>
          <w:rFonts w:hint="eastAsia" w:ascii="仿宋_GB2312" w:hAnsi="仿宋_GB2312" w:eastAsia="仿宋_GB2312" w:cs="仿宋_GB2312"/>
          <w:sz w:val="32"/>
          <w:szCs w:val="32"/>
          <w:shd w:val="clear" w:color="auto" w:fill="FFFFFF"/>
        </w:rPr>
        <w:t>算金额9.018万元。</w:t>
      </w:r>
    </w:p>
    <w:tbl>
      <w:tblPr>
        <w:tblStyle w:val="4"/>
        <w:tblW w:w="8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7"/>
        <w:gridCol w:w="3352"/>
        <w:gridCol w:w="1680"/>
        <w:gridCol w:w="2539"/>
      </w:tblGrid>
      <w:tr w14:paraId="77C22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1077" w:type="dxa"/>
            <w:vAlign w:val="center"/>
          </w:tcPr>
          <w:p w14:paraId="550F0C47">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包件</w:t>
            </w:r>
          </w:p>
        </w:tc>
        <w:tc>
          <w:tcPr>
            <w:tcW w:w="3352" w:type="dxa"/>
            <w:vAlign w:val="center"/>
          </w:tcPr>
          <w:p w14:paraId="30049302">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标的</w:t>
            </w:r>
            <w:r>
              <w:rPr>
                <w:rFonts w:ascii="Times New Roman" w:hAnsi="Times New Roman" w:eastAsia="仿宋_GB2312" w:cs="Times New Roman"/>
                <w:b/>
                <w:sz w:val="28"/>
                <w:szCs w:val="28"/>
                <w:shd w:val="clear" w:color="auto" w:fill="FFFFFF"/>
              </w:rPr>
              <w:t>名称</w:t>
            </w:r>
          </w:p>
        </w:tc>
        <w:tc>
          <w:tcPr>
            <w:tcW w:w="1680" w:type="dxa"/>
            <w:vAlign w:val="center"/>
          </w:tcPr>
          <w:p w14:paraId="2475978C">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ascii="Times New Roman" w:hAnsi="Times New Roman" w:eastAsia="仿宋_GB2312" w:cs="Times New Roman"/>
                <w:b/>
                <w:sz w:val="28"/>
                <w:szCs w:val="28"/>
                <w:shd w:val="clear" w:color="auto" w:fill="FFFFFF"/>
              </w:rPr>
              <w:t>数量</w:t>
            </w:r>
            <w:r>
              <w:rPr>
                <w:rFonts w:hint="eastAsia" w:ascii="Times New Roman" w:hAnsi="Times New Roman" w:eastAsia="仿宋_GB2312" w:cs="Times New Roman"/>
                <w:b/>
                <w:sz w:val="28"/>
                <w:szCs w:val="28"/>
                <w:shd w:val="clear" w:color="auto" w:fill="FFFFFF"/>
              </w:rPr>
              <w:t>（项）</w:t>
            </w:r>
          </w:p>
        </w:tc>
        <w:tc>
          <w:tcPr>
            <w:tcW w:w="2539" w:type="dxa"/>
            <w:vAlign w:val="center"/>
          </w:tcPr>
          <w:p w14:paraId="71472B84">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预算金额</w:t>
            </w:r>
          </w:p>
          <w:p w14:paraId="3CB63DC9">
            <w:pPr>
              <w:shd w:val="clear" w:color="auto" w:fill="FFFFFF"/>
              <w:tabs>
                <w:tab w:val="left" w:pos="720"/>
              </w:tabs>
              <w:snapToGrid w:val="0"/>
              <w:spacing w:line="400" w:lineRule="exact"/>
              <w:jc w:val="center"/>
              <w:rPr>
                <w:rFonts w:ascii="Times New Roman" w:hAnsi="Times New Roman" w:eastAsia="仿宋_GB2312" w:cs="Times New Roman"/>
                <w:b/>
                <w:sz w:val="28"/>
                <w:szCs w:val="28"/>
                <w:shd w:val="clear" w:color="auto" w:fill="FFFFFF"/>
              </w:rPr>
            </w:pPr>
            <w:r>
              <w:rPr>
                <w:rFonts w:hint="eastAsia" w:ascii="Times New Roman" w:hAnsi="Times New Roman" w:eastAsia="仿宋_GB2312" w:cs="Times New Roman"/>
                <w:b/>
                <w:sz w:val="28"/>
                <w:szCs w:val="28"/>
                <w:shd w:val="clear" w:color="auto" w:fill="FFFFFF"/>
              </w:rPr>
              <w:t>（万元）</w:t>
            </w:r>
          </w:p>
        </w:tc>
      </w:tr>
      <w:tr w14:paraId="41DA1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1077" w:type="dxa"/>
            <w:vAlign w:val="center"/>
          </w:tcPr>
          <w:p w14:paraId="0FE37673">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p>
        </w:tc>
        <w:tc>
          <w:tcPr>
            <w:tcW w:w="3352" w:type="dxa"/>
            <w:vAlign w:val="center"/>
          </w:tcPr>
          <w:p w14:paraId="1F9BD165">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shd w:val="clear" w:color="auto" w:fill="FFFFFF"/>
                <w:lang w:eastAsia="zh-CN"/>
              </w:rPr>
            </w:pPr>
            <w:r>
              <w:rPr>
                <w:rFonts w:hint="eastAsia" w:ascii="Times New Roman" w:hAnsi="Times New Roman" w:eastAsia="仿宋_GB2312" w:cs="Times New Roman"/>
                <w:sz w:val="28"/>
                <w:szCs w:val="28"/>
                <w:shd w:val="clear" w:color="auto" w:fill="FFFFFF"/>
                <w:lang w:eastAsia="zh-CN"/>
              </w:rPr>
              <w:t>“2026医教研管学术月活动”会务服务</w:t>
            </w:r>
          </w:p>
        </w:tc>
        <w:tc>
          <w:tcPr>
            <w:tcW w:w="1680" w:type="dxa"/>
            <w:vAlign w:val="center"/>
          </w:tcPr>
          <w:p w14:paraId="2D958498">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1</w:t>
            </w:r>
          </w:p>
        </w:tc>
        <w:tc>
          <w:tcPr>
            <w:tcW w:w="2539" w:type="dxa"/>
            <w:vAlign w:val="center"/>
          </w:tcPr>
          <w:p w14:paraId="5A8629C0">
            <w:pPr>
              <w:shd w:val="clear" w:color="auto" w:fill="FFFFFF"/>
              <w:tabs>
                <w:tab w:val="left" w:pos="720"/>
              </w:tabs>
              <w:snapToGrid w:val="0"/>
              <w:spacing w:line="400" w:lineRule="exact"/>
              <w:jc w:val="center"/>
              <w:rPr>
                <w:rFonts w:hint="eastAsia" w:ascii="Times New Roman" w:hAnsi="Times New Roman" w:eastAsia="仿宋_GB2312" w:cs="Times New Roman"/>
                <w:sz w:val="28"/>
                <w:szCs w:val="28"/>
                <w:shd w:val="clear" w:color="auto" w:fill="FFFFFF"/>
              </w:rPr>
            </w:pPr>
            <w:r>
              <w:rPr>
                <w:rFonts w:hint="eastAsia" w:ascii="Times New Roman" w:hAnsi="Times New Roman" w:eastAsia="仿宋_GB2312" w:cs="Times New Roman"/>
                <w:sz w:val="28"/>
                <w:szCs w:val="28"/>
                <w:shd w:val="clear" w:color="auto" w:fill="FFFFFF"/>
              </w:rPr>
              <w:t>9.018</w:t>
            </w:r>
          </w:p>
        </w:tc>
      </w:tr>
    </w:tbl>
    <w:p w14:paraId="64788955">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highlight w:val="none"/>
          <w:shd w:val="clear" w:color="auto" w:fill="FFFFFF"/>
        </w:rPr>
      </w:pPr>
      <w:r>
        <w:rPr>
          <w:rFonts w:hint="eastAsia" w:ascii="Times New Roman" w:hAnsi="Times New Roman" w:eastAsia="黑体" w:cs="Times New Roman"/>
          <w:sz w:val="32"/>
          <w:szCs w:val="32"/>
          <w:highlight w:val="none"/>
          <w:shd w:val="clear" w:color="auto" w:fill="FFFFFF"/>
        </w:rPr>
        <w:t>二</w:t>
      </w:r>
      <w:r>
        <w:rPr>
          <w:rFonts w:ascii="Times New Roman" w:hAnsi="Times New Roman" w:eastAsia="黑体" w:cs="Times New Roman"/>
          <w:sz w:val="32"/>
          <w:szCs w:val="32"/>
          <w:highlight w:val="none"/>
          <w:shd w:val="clear" w:color="auto" w:fill="FFFFFF"/>
        </w:rPr>
        <w:t>、</w:t>
      </w:r>
      <w:r>
        <w:rPr>
          <w:rFonts w:hint="eastAsia" w:ascii="Times New Roman" w:hAnsi="Times New Roman" w:eastAsia="黑体" w:cs="Times New Roman"/>
          <w:sz w:val="32"/>
          <w:szCs w:val="32"/>
          <w:highlight w:val="none"/>
          <w:shd w:val="clear" w:color="auto" w:fill="FFFFFF"/>
        </w:rPr>
        <w:t>服务</w:t>
      </w:r>
      <w:r>
        <w:rPr>
          <w:rFonts w:ascii="Times New Roman" w:hAnsi="Times New Roman" w:eastAsia="黑体" w:cs="Times New Roman"/>
          <w:sz w:val="32"/>
          <w:szCs w:val="32"/>
          <w:highlight w:val="none"/>
          <w:shd w:val="clear" w:color="auto" w:fill="FFFFFF"/>
        </w:rPr>
        <w:t>要求</w:t>
      </w:r>
    </w:p>
    <w:p w14:paraId="0B7A92C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highlight w:val="none"/>
          <w:shd w:val="clear" w:color="auto" w:fill="FFFFFF"/>
        </w:rPr>
        <w:t>（一）展会活动</w:t>
      </w:r>
      <w:r>
        <w:rPr>
          <w:rFonts w:hint="eastAsia" w:ascii="仿宋_GB2312" w:hAnsi="仿宋_GB2312" w:eastAsia="仿宋_GB2312" w:cs="仿宋_GB2312"/>
          <w:sz w:val="32"/>
          <w:szCs w:val="32"/>
          <w:highlight w:val="none"/>
          <w:shd w:val="clear" w:color="auto" w:fill="FFFFFF"/>
          <w:lang w:val="en-US" w:eastAsia="zh-CN"/>
        </w:rPr>
        <w:t>介</w:t>
      </w:r>
      <w:r>
        <w:rPr>
          <w:rFonts w:hint="eastAsia" w:ascii="仿宋_GB2312" w:hAnsi="仿宋_GB2312" w:eastAsia="仿宋_GB2312" w:cs="仿宋_GB2312"/>
          <w:sz w:val="32"/>
          <w:szCs w:val="32"/>
          <w:shd w:val="clear" w:color="auto" w:fill="FFFFFF"/>
          <w:lang w:val="en-US" w:eastAsia="zh-CN"/>
        </w:rPr>
        <w:t>绍</w:t>
      </w:r>
    </w:p>
    <w:p w14:paraId="422E2B7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1.活动时间：2026年3月底(暂定，最终活动时间以采购人通知为准)。</w:t>
      </w:r>
    </w:p>
    <w:p w14:paraId="613C275B">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2.与会人数：不少于300人。</w:t>
      </w:r>
    </w:p>
    <w:p w14:paraId="1D53B8BF">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3.活动安排：</w:t>
      </w:r>
    </w:p>
    <w:p w14:paraId="0537B4B6">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第一部分:</w:t>
      </w:r>
      <w:r>
        <w:rPr>
          <w:rFonts w:hint="default" w:ascii="Times New Roman" w:hAnsi="Times New Roman" w:eastAsia="方正仿宋_GBK" w:cs="Times New Roman"/>
          <w:b/>
          <w:bCs/>
          <w:sz w:val="32"/>
          <w:szCs w:val="32"/>
        </w:rPr>
        <w:t>前沿医学与细胞治疗中心成立大会</w:t>
      </w:r>
    </w:p>
    <w:p w14:paraId="44402232">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第二部分:</w:t>
      </w:r>
      <w:r>
        <w:rPr>
          <w:rFonts w:hint="default" w:ascii="Times New Roman" w:hAnsi="Times New Roman" w:eastAsia="方正仿宋_GBK" w:cs="Times New Roman"/>
          <w:b/>
          <w:bCs/>
          <w:sz w:val="32"/>
          <w:szCs w:val="32"/>
        </w:rPr>
        <w:t>院士大讲堂</w:t>
      </w:r>
    </w:p>
    <w:p w14:paraId="511DD97A">
      <w:pPr>
        <w:shd w:val="clear" w:color="auto" w:fill="FFFFFF"/>
        <w:tabs>
          <w:tab w:val="left" w:pos="720"/>
          <w:tab w:val="left" w:pos="900"/>
        </w:tabs>
        <w:adjustRightInd w:val="0"/>
        <w:snapToGrid w:val="0"/>
        <w:spacing w:line="560" w:lineRule="exact"/>
        <w:ind w:firstLine="640" w:firstLineChars="200"/>
        <w:rPr>
          <w:rFonts w:hint="default"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第三部分：活动总结</w:t>
      </w:r>
    </w:p>
    <w:p w14:paraId="4F7D59D0">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val="en-US" w:eastAsia="zh-CN"/>
        </w:rPr>
      </w:pPr>
      <w:r>
        <w:rPr>
          <w:rFonts w:hint="eastAsia" w:ascii="仿宋_GB2312" w:hAnsi="仿宋_GB2312" w:eastAsia="仿宋_GB2312" w:cs="仿宋_GB2312"/>
          <w:sz w:val="32"/>
          <w:szCs w:val="32"/>
          <w:shd w:val="clear" w:color="auto" w:fill="FFFFFF"/>
          <w:lang w:val="en-US" w:eastAsia="zh-CN"/>
        </w:rPr>
        <w:t>（二）服务内容及要求</w:t>
      </w:r>
    </w:p>
    <w:p w14:paraId="216F37C0">
      <w:pPr>
        <w:shd w:val="clear" w:color="auto" w:fill="FFFFFF"/>
        <w:tabs>
          <w:tab w:val="left" w:pos="720"/>
          <w:tab w:val="left" w:pos="900"/>
        </w:tabs>
        <w:adjustRightInd w:val="0"/>
        <w:snapToGrid w:val="0"/>
        <w:spacing w:line="560" w:lineRule="exact"/>
        <w:ind w:firstLine="640" w:firstLineChars="200"/>
        <w:rPr>
          <w:rFonts w:ascii="仿宋_GB2312" w:hAnsi="Times New Roman" w:eastAsia="仿宋_GB2312" w:cs="仿宋_GB2312"/>
          <w:sz w:val="36"/>
          <w:szCs w:val="36"/>
        </w:rPr>
      </w:pPr>
      <w:r>
        <w:rPr>
          <w:rFonts w:hint="eastAsia" w:ascii="仿宋_GB2312" w:hAnsi="仿宋_GB2312" w:eastAsia="仿宋_GB2312" w:cs="仿宋_GB2312"/>
          <w:sz w:val="32"/>
          <w:szCs w:val="32"/>
          <w:shd w:val="clear" w:color="auto" w:fill="FFFFFF"/>
          <w:lang w:val="en-US" w:eastAsia="zh-CN"/>
        </w:rPr>
        <w:t>服务内容为承办拟于2026年3月底举办的“前沿医学与细胞治疗中心成立大会暨院士大讲堂”，充分做好会场设计和保障工作，服务要求如下：</w:t>
      </w:r>
    </w:p>
    <w:p w14:paraId="7187BCA9">
      <w:pPr>
        <w:shd w:val="clear" w:color="auto" w:fill="FFFFFF"/>
        <w:tabs>
          <w:tab w:val="left" w:pos="720"/>
          <w:tab w:val="left" w:pos="900"/>
        </w:tabs>
        <w:adjustRightInd w:val="0"/>
        <w:snapToGrid w:val="0"/>
        <w:spacing w:line="560" w:lineRule="exact"/>
        <w:ind w:firstLine="720" w:firstLineChars="200"/>
        <w:rPr>
          <w:rFonts w:ascii="仿宋_GB2312" w:hAnsi="Times New Roman" w:eastAsia="仿宋_GB2312" w:cs="仿宋_GB2312"/>
          <w:sz w:val="36"/>
          <w:szCs w:val="36"/>
        </w:rPr>
      </w:pPr>
    </w:p>
    <w:p w14:paraId="579D7764">
      <w:pPr>
        <w:shd w:val="clear" w:color="auto" w:fill="FFFFFF"/>
        <w:tabs>
          <w:tab w:val="left" w:pos="720"/>
          <w:tab w:val="left" w:pos="900"/>
        </w:tabs>
        <w:adjustRightInd w:val="0"/>
        <w:snapToGrid w:val="0"/>
        <w:spacing w:line="560" w:lineRule="exact"/>
        <w:ind w:firstLine="720" w:firstLineChars="200"/>
        <w:rPr>
          <w:rFonts w:hint="eastAsia" w:ascii="仿宋_GB2312" w:hAnsi="Times New Roman" w:eastAsia="仿宋_GB2312" w:cs="仿宋_GB2312"/>
          <w:sz w:val="36"/>
          <w:szCs w:val="36"/>
          <w:lang w:val="en-US" w:eastAsia="zh-CN"/>
        </w:rPr>
      </w:pPr>
    </w:p>
    <w:p w14:paraId="172451DA">
      <w:pPr>
        <w:shd w:val="clear" w:color="auto" w:fill="FFFFFF"/>
        <w:tabs>
          <w:tab w:val="left" w:pos="720"/>
          <w:tab w:val="left" w:pos="900"/>
        </w:tabs>
        <w:adjustRightInd w:val="0"/>
        <w:snapToGrid w:val="0"/>
        <w:spacing w:line="560" w:lineRule="exact"/>
        <w:ind w:firstLine="720" w:firstLineChars="200"/>
        <w:rPr>
          <w:rFonts w:hint="eastAsia" w:ascii="仿宋_GB2312" w:hAnsi="Times New Roman" w:eastAsia="仿宋_GB2312" w:cs="仿宋_GB2312"/>
          <w:sz w:val="36"/>
          <w:szCs w:val="36"/>
          <w:lang w:val="en-US" w:eastAsia="zh-CN"/>
        </w:rPr>
      </w:pPr>
      <w:bookmarkStart w:id="1" w:name="_GoBack"/>
      <w:bookmarkEnd w:id="1"/>
    </w:p>
    <w:tbl>
      <w:tblPr>
        <w:tblStyle w:val="4"/>
        <w:tblW w:w="937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8"/>
        <w:gridCol w:w="1625"/>
        <w:gridCol w:w="4982"/>
        <w:gridCol w:w="2103"/>
      </w:tblGrid>
      <w:tr w14:paraId="0F03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9378"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5E883C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b/>
                <w:bCs/>
                <w:i w:val="0"/>
                <w:iCs w:val="0"/>
                <w:snapToGrid w:val="0"/>
                <w:color w:val="000000"/>
                <w:kern w:val="0"/>
                <w:sz w:val="22"/>
                <w:szCs w:val="22"/>
                <w:u w:val="none"/>
                <w:lang w:val="en-US" w:eastAsia="zh-CN" w:bidi="ar"/>
              </w:rPr>
            </w:pPr>
            <w:r>
              <w:rPr>
                <w:rFonts w:hint="eastAsia" w:ascii="微软雅黑" w:hAnsi="微软雅黑" w:eastAsia="微软雅黑" w:cs="微软雅黑"/>
                <w:b/>
                <w:bCs/>
                <w:i w:val="0"/>
                <w:iCs w:val="0"/>
                <w:snapToGrid w:val="0"/>
                <w:color w:val="000000"/>
                <w:kern w:val="0"/>
                <w:sz w:val="22"/>
                <w:szCs w:val="22"/>
                <w:u w:val="none"/>
                <w:lang w:val="en-US" w:eastAsia="zh-CN" w:bidi="ar"/>
              </w:rPr>
              <w:t>服务要求</w:t>
            </w:r>
          </w:p>
        </w:tc>
      </w:tr>
      <w:tr w14:paraId="345E97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10E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序号</w:t>
            </w:r>
          </w:p>
        </w:tc>
        <w:tc>
          <w:tcPr>
            <w:tcW w:w="1625" w:type="dxa"/>
            <w:tcBorders>
              <w:top w:val="single" w:color="000000" w:sz="4" w:space="0"/>
              <w:left w:val="single" w:color="000000" w:sz="4" w:space="0"/>
              <w:bottom w:val="single" w:color="auto" w:sz="4" w:space="0"/>
              <w:right w:val="single" w:color="000000" w:sz="4" w:space="0"/>
            </w:tcBorders>
            <w:shd w:val="clear" w:color="auto" w:fill="auto"/>
            <w:vAlign w:val="center"/>
          </w:tcPr>
          <w:p w14:paraId="692D8FE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需求类别</w:t>
            </w: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4D2F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具体要求</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BC3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b/>
                <w:bCs/>
                <w:i w:val="0"/>
                <w:iCs w:val="0"/>
                <w:color w:val="000000"/>
                <w:sz w:val="22"/>
                <w:szCs w:val="22"/>
                <w:u w:val="none"/>
              </w:rPr>
            </w:pPr>
            <w:r>
              <w:rPr>
                <w:rFonts w:hint="eastAsia" w:ascii="微软雅黑" w:hAnsi="微软雅黑" w:eastAsia="微软雅黑" w:cs="微软雅黑"/>
                <w:b/>
                <w:bCs/>
                <w:i w:val="0"/>
                <w:iCs w:val="0"/>
                <w:snapToGrid w:val="0"/>
                <w:color w:val="000000"/>
                <w:kern w:val="0"/>
                <w:sz w:val="22"/>
                <w:szCs w:val="22"/>
                <w:u w:val="none"/>
                <w:lang w:val="en-US" w:eastAsia="zh-CN" w:bidi="ar"/>
              </w:rPr>
              <w:t>数量要求</w:t>
            </w:r>
          </w:p>
        </w:tc>
      </w:tr>
      <w:tr w14:paraId="0B9317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8" w:hRule="atLeast"/>
          <w:jc w:val="center"/>
        </w:trPr>
        <w:tc>
          <w:tcPr>
            <w:tcW w:w="668" w:type="dxa"/>
            <w:vMerge w:val="restart"/>
            <w:tcBorders>
              <w:top w:val="single" w:color="000000" w:sz="4" w:space="0"/>
              <w:left w:val="single" w:color="000000" w:sz="4" w:space="0"/>
              <w:right w:val="single" w:color="auto" w:sz="4" w:space="0"/>
            </w:tcBorders>
            <w:shd w:val="clear" w:color="auto" w:fill="auto"/>
            <w:vAlign w:val="center"/>
          </w:tcPr>
          <w:p w14:paraId="4B67091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1</w:t>
            </w:r>
          </w:p>
        </w:tc>
        <w:tc>
          <w:tcPr>
            <w:tcW w:w="162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A1C40B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会场搭建</w:t>
            </w:r>
          </w:p>
        </w:tc>
        <w:tc>
          <w:tcPr>
            <w:tcW w:w="4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235EBE34">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沙发和茶几</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5245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不少于16套</w:t>
            </w:r>
          </w:p>
        </w:tc>
      </w:tr>
      <w:tr w14:paraId="7D67A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center"/>
        </w:trPr>
        <w:tc>
          <w:tcPr>
            <w:tcW w:w="668" w:type="dxa"/>
            <w:vMerge w:val="continue"/>
            <w:tcBorders>
              <w:left w:val="single" w:color="000000" w:sz="4" w:space="0"/>
              <w:right w:val="single" w:color="auto" w:sz="4" w:space="0"/>
            </w:tcBorders>
            <w:shd w:val="clear" w:color="auto" w:fill="auto"/>
            <w:vAlign w:val="center"/>
          </w:tcPr>
          <w:p w14:paraId="3107A87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25152F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4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1075A4B1">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启动柱</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FBD0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不少于12根</w:t>
            </w:r>
          </w:p>
        </w:tc>
      </w:tr>
      <w:tr w14:paraId="6D93F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jc w:val="center"/>
        </w:trPr>
        <w:tc>
          <w:tcPr>
            <w:tcW w:w="668" w:type="dxa"/>
            <w:vMerge w:val="continue"/>
            <w:tcBorders>
              <w:left w:val="single" w:color="000000" w:sz="4" w:space="0"/>
              <w:right w:val="single" w:color="auto" w:sz="4" w:space="0"/>
            </w:tcBorders>
            <w:shd w:val="clear" w:color="auto" w:fill="auto"/>
            <w:vAlign w:val="center"/>
          </w:tcPr>
          <w:p w14:paraId="01AB3FA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A7FD09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4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212A75BB">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签约设备</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7FD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不少于10套</w:t>
            </w:r>
          </w:p>
        </w:tc>
      </w:tr>
      <w:tr w14:paraId="3D3711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668" w:type="dxa"/>
            <w:vMerge w:val="continue"/>
            <w:tcBorders>
              <w:left w:val="single" w:color="000000" w:sz="4" w:space="0"/>
              <w:bottom w:val="single" w:color="000000" w:sz="4" w:space="0"/>
              <w:right w:val="single" w:color="auto" w:sz="4" w:space="0"/>
            </w:tcBorders>
            <w:shd w:val="clear" w:color="auto" w:fill="auto"/>
            <w:vAlign w:val="center"/>
          </w:tcPr>
          <w:p w14:paraId="000DAF5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162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B01E7F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p>
        </w:tc>
        <w:tc>
          <w:tcPr>
            <w:tcW w:w="4982" w:type="dxa"/>
            <w:tcBorders>
              <w:top w:val="single" w:color="000000" w:sz="4" w:space="0"/>
              <w:left w:val="single" w:color="auto" w:sz="4" w:space="0"/>
              <w:bottom w:val="single" w:color="000000" w:sz="4" w:space="0"/>
              <w:right w:val="single" w:color="000000" w:sz="4" w:space="0"/>
            </w:tcBorders>
            <w:shd w:val="clear" w:color="auto" w:fill="auto"/>
            <w:vAlign w:val="center"/>
          </w:tcPr>
          <w:p w14:paraId="7C922EB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控制台</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97CF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不少于1套</w:t>
            </w:r>
          </w:p>
        </w:tc>
      </w:tr>
      <w:tr w14:paraId="2BCCAD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 w:hRule="atLeast"/>
          <w:jc w:val="center"/>
        </w:trPr>
        <w:tc>
          <w:tcPr>
            <w:tcW w:w="668" w:type="dxa"/>
            <w:vMerge w:val="restart"/>
            <w:tcBorders>
              <w:top w:val="single" w:color="000000" w:sz="4" w:space="0"/>
              <w:left w:val="single" w:color="000000" w:sz="4" w:space="0"/>
              <w:right w:val="single" w:color="000000" w:sz="4" w:space="0"/>
            </w:tcBorders>
            <w:shd w:val="clear" w:color="auto" w:fill="auto"/>
            <w:vAlign w:val="center"/>
          </w:tcPr>
          <w:p w14:paraId="731F6836">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2</w:t>
            </w:r>
          </w:p>
        </w:tc>
        <w:tc>
          <w:tcPr>
            <w:tcW w:w="1625" w:type="dxa"/>
            <w:vMerge w:val="restart"/>
            <w:tcBorders>
              <w:top w:val="single" w:color="auto" w:sz="4" w:space="0"/>
              <w:left w:val="single" w:color="000000" w:sz="4" w:space="0"/>
              <w:right w:val="single" w:color="000000" w:sz="4" w:space="0"/>
            </w:tcBorders>
            <w:shd w:val="clear" w:color="auto" w:fill="auto"/>
            <w:vAlign w:val="center"/>
          </w:tcPr>
          <w:p w14:paraId="7FDAD04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宣传物料准备</w:t>
            </w: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E1FD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桁架、展会主题大桁架、日程展架等物料</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AE82F">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不少于1场</w:t>
            </w:r>
          </w:p>
        </w:tc>
      </w:tr>
      <w:tr w14:paraId="5A1AA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4" w:hRule="atLeast"/>
          <w:jc w:val="center"/>
        </w:trPr>
        <w:tc>
          <w:tcPr>
            <w:tcW w:w="668" w:type="dxa"/>
            <w:vMerge w:val="continue"/>
            <w:tcBorders>
              <w:left w:val="single" w:color="000000" w:sz="4" w:space="0"/>
              <w:right w:val="single" w:color="000000" w:sz="4" w:space="0"/>
            </w:tcBorders>
            <w:shd w:val="clear" w:color="auto" w:fill="auto"/>
            <w:vAlign w:val="center"/>
          </w:tcPr>
          <w:p w14:paraId="74946DC8">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1625" w:type="dxa"/>
            <w:vMerge w:val="continue"/>
            <w:tcBorders>
              <w:left w:val="single" w:color="000000" w:sz="4" w:space="0"/>
              <w:right w:val="single" w:color="000000" w:sz="4" w:space="0"/>
            </w:tcBorders>
            <w:shd w:val="clear" w:color="auto" w:fill="auto"/>
            <w:vAlign w:val="center"/>
          </w:tcPr>
          <w:p w14:paraId="39C91742">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48323">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会议手册印刷</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8FD1">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不少于100册</w:t>
            </w:r>
          </w:p>
        </w:tc>
      </w:tr>
      <w:tr w14:paraId="11F8E8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4" w:hRule="atLeast"/>
          <w:jc w:val="center"/>
        </w:trPr>
        <w:tc>
          <w:tcPr>
            <w:tcW w:w="668" w:type="dxa"/>
            <w:vMerge w:val="continue"/>
            <w:tcBorders>
              <w:left w:val="single" w:color="000000" w:sz="4" w:space="0"/>
              <w:right w:val="single" w:color="000000" w:sz="4" w:space="0"/>
            </w:tcBorders>
            <w:shd w:val="clear" w:color="auto" w:fill="auto"/>
            <w:vAlign w:val="center"/>
          </w:tcPr>
          <w:p w14:paraId="294CD3E9">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1625" w:type="dxa"/>
            <w:vMerge w:val="continue"/>
            <w:tcBorders>
              <w:left w:val="single" w:color="000000" w:sz="4" w:space="0"/>
              <w:right w:val="single" w:color="000000" w:sz="4" w:space="0"/>
            </w:tcBorders>
            <w:shd w:val="clear" w:color="auto" w:fill="auto"/>
            <w:vAlign w:val="center"/>
          </w:tcPr>
          <w:p w14:paraId="0DAADD0A">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D8B1D">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证书</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4222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不少于500个</w:t>
            </w:r>
          </w:p>
        </w:tc>
      </w:tr>
      <w:tr w14:paraId="3AB00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668" w:type="dxa"/>
            <w:vMerge w:val="continue"/>
            <w:tcBorders>
              <w:left w:val="single" w:color="000000" w:sz="4" w:space="0"/>
              <w:bottom w:val="single" w:color="000000" w:sz="4" w:space="0"/>
              <w:right w:val="single" w:color="000000" w:sz="4" w:space="0"/>
            </w:tcBorders>
            <w:shd w:val="clear" w:color="auto" w:fill="auto"/>
            <w:vAlign w:val="center"/>
          </w:tcPr>
          <w:p w14:paraId="2DD11529">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1625" w:type="dxa"/>
            <w:vMerge w:val="continue"/>
            <w:tcBorders>
              <w:left w:val="single" w:color="000000" w:sz="4" w:space="0"/>
              <w:bottom w:val="single" w:color="auto" w:sz="4" w:space="0"/>
              <w:right w:val="single" w:color="000000" w:sz="4" w:space="0"/>
            </w:tcBorders>
            <w:shd w:val="clear" w:color="auto" w:fill="auto"/>
            <w:vAlign w:val="center"/>
          </w:tcPr>
          <w:p w14:paraId="3E6A20DE">
            <w:pPr>
              <w:keepNext w:val="0"/>
              <w:keepLines w:val="0"/>
              <w:pageBreakBefore w:val="0"/>
              <w:widowControl/>
              <w:kinsoku/>
              <w:wordWrap/>
              <w:overflowPunct/>
              <w:topLinePunct w:val="0"/>
              <w:autoSpaceDE/>
              <w:autoSpaceDN/>
              <w:bidi w:val="0"/>
              <w:adjustRightInd/>
              <w:snapToGrid/>
              <w:spacing w:line="500" w:lineRule="exact"/>
              <w:jc w:val="center"/>
              <w:rPr>
                <w:rFonts w:hint="eastAsia" w:ascii="微软雅黑" w:hAnsi="微软雅黑" w:eastAsia="微软雅黑" w:cs="微软雅黑"/>
                <w:i w:val="0"/>
                <w:iCs w:val="0"/>
                <w:color w:val="000000"/>
                <w:sz w:val="20"/>
                <w:szCs w:val="20"/>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8BF9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授牌</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5A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不少于50个</w:t>
            </w:r>
          </w:p>
        </w:tc>
      </w:tr>
      <w:tr w14:paraId="58E8C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BBB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3</w:t>
            </w:r>
          </w:p>
        </w:tc>
        <w:tc>
          <w:tcPr>
            <w:tcW w:w="1625" w:type="dxa"/>
            <w:tcBorders>
              <w:top w:val="single" w:color="auto" w:sz="4" w:space="0"/>
              <w:left w:val="single" w:color="000000" w:sz="4" w:space="0"/>
              <w:bottom w:val="single" w:color="000000" w:sz="4" w:space="0"/>
              <w:right w:val="single" w:color="000000" w:sz="4" w:space="0"/>
            </w:tcBorders>
            <w:shd w:val="clear" w:color="auto" w:fill="auto"/>
            <w:vAlign w:val="center"/>
          </w:tcPr>
          <w:p w14:paraId="2C71246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设计</w:t>
            </w: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308E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场景特色展示设计、主画面设计及常规物料延展、宣传图设计/手册设计等</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B043B">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不少于1场</w:t>
            </w:r>
          </w:p>
        </w:tc>
      </w:tr>
      <w:tr w14:paraId="2992A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9" w:hRule="atLeast"/>
          <w:jc w:val="center"/>
        </w:trPr>
        <w:tc>
          <w:tcPr>
            <w:tcW w:w="6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B510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4</w:t>
            </w:r>
          </w:p>
        </w:tc>
        <w:tc>
          <w:tcPr>
            <w:tcW w:w="1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BD4FD">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摄像摄影</w:t>
            </w: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4742C">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default"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全程提供摄像摄影、修图、视频剪辑、成片提供</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9F0DA">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不少于1场</w:t>
            </w:r>
          </w:p>
        </w:tc>
      </w:tr>
      <w:tr w14:paraId="6C5B7E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jc w:val="center"/>
        </w:trPr>
        <w:tc>
          <w:tcPr>
            <w:tcW w:w="668" w:type="dxa"/>
            <w:vMerge w:val="restart"/>
            <w:tcBorders>
              <w:top w:val="single" w:color="000000" w:sz="4" w:space="0"/>
              <w:left w:val="single" w:color="000000" w:sz="4" w:space="0"/>
              <w:right w:val="single" w:color="000000" w:sz="4" w:space="0"/>
            </w:tcBorders>
            <w:shd w:val="clear" w:color="auto" w:fill="auto"/>
            <w:vAlign w:val="center"/>
          </w:tcPr>
          <w:p w14:paraId="17CFB6E3">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5</w:t>
            </w:r>
          </w:p>
        </w:tc>
        <w:tc>
          <w:tcPr>
            <w:tcW w:w="1625" w:type="dxa"/>
            <w:vMerge w:val="restart"/>
            <w:tcBorders>
              <w:top w:val="single" w:color="000000" w:sz="4" w:space="0"/>
              <w:left w:val="single" w:color="000000" w:sz="4" w:space="0"/>
              <w:right w:val="single" w:color="000000" w:sz="4" w:space="0"/>
            </w:tcBorders>
            <w:shd w:val="clear" w:color="auto" w:fill="auto"/>
            <w:vAlign w:val="center"/>
          </w:tcPr>
          <w:p w14:paraId="6D9620D5">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snapToGrid w:val="0"/>
                <w:color w:val="000000"/>
                <w:kern w:val="0"/>
                <w:sz w:val="20"/>
                <w:szCs w:val="20"/>
                <w:u w:val="none"/>
                <w:lang w:val="en-US" w:eastAsia="zh-CN" w:bidi="ar"/>
              </w:rPr>
              <w:t>会务团队人员</w:t>
            </w: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6725F">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提供会务服务人员</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22658">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kern w:val="2"/>
                <w:sz w:val="20"/>
                <w:szCs w:val="20"/>
                <w:u w:val="none"/>
                <w:lang w:val="en-US" w:eastAsia="zh-CN" w:bidi="ar-SA"/>
              </w:rPr>
            </w:pPr>
            <w:r>
              <w:rPr>
                <w:rFonts w:hint="eastAsia" w:ascii="微软雅黑" w:hAnsi="微软雅黑" w:eastAsia="微软雅黑" w:cs="微软雅黑"/>
                <w:i w:val="0"/>
                <w:iCs w:val="0"/>
                <w:snapToGrid w:val="0"/>
                <w:color w:val="000000"/>
                <w:kern w:val="0"/>
                <w:sz w:val="20"/>
                <w:szCs w:val="20"/>
                <w:u w:val="none"/>
                <w:lang w:val="en-US" w:eastAsia="zh-CN" w:bidi="ar"/>
              </w:rPr>
              <w:t>不少于9名</w:t>
            </w:r>
          </w:p>
        </w:tc>
      </w:tr>
      <w:tr w14:paraId="18CAE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jc w:val="center"/>
        </w:trPr>
        <w:tc>
          <w:tcPr>
            <w:tcW w:w="668" w:type="dxa"/>
            <w:vMerge w:val="continue"/>
            <w:tcBorders>
              <w:left w:val="single" w:color="000000" w:sz="4" w:space="0"/>
              <w:bottom w:val="single" w:color="000000" w:sz="4" w:space="0"/>
              <w:right w:val="single" w:color="000000" w:sz="4" w:space="0"/>
            </w:tcBorders>
            <w:shd w:val="clear" w:color="auto" w:fill="auto"/>
            <w:vAlign w:val="center"/>
          </w:tcPr>
          <w:p w14:paraId="2D46E319">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p>
        </w:tc>
        <w:tc>
          <w:tcPr>
            <w:tcW w:w="1625" w:type="dxa"/>
            <w:vMerge w:val="continue"/>
            <w:tcBorders>
              <w:left w:val="single" w:color="000000" w:sz="4" w:space="0"/>
              <w:bottom w:val="single" w:color="000000" w:sz="4" w:space="0"/>
              <w:right w:val="single" w:color="000000" w:sz="4" w:space="0"/>
            </w:tcBorders>
            <w:shd w:val="clear" w:color="auto" w:fill="auto"/>
            <w:vAlign w:val="center"/>
          </w:tcPr>
          <w:p w14:paraId="6C19E004">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eastAsia" w:ascii="微软雅黑" w:hAnsi="微软雅黑" w:eastAsia="微软雅黑" w:cs="微软雅黑"/>
                <w:i w:val="0"/>
                <w:iCs w:val="0"/>
                <w:color w:val="000000"/>
                <w:sz w:val="20"/>
                <w:szCs w:val="20"/>
                <w:u w:val="none"/>
              </w:rPr>
            </w:pPr>
          </w:p>
        </w:tc>
        <w:tc>
          <w:tcPr>
            <w:tcW w:w="4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58286">
            <w:pPr>
              <w:keepNext w:val="0"/>
              <w:keepLines w:val="0"/>
              <w:pageBreakBefore w:val="0"/>
              <w:widowControl/>
              <w:suppressLineNumbers w:val="0"/>
              <w:kinsoku/>
              <w:wordWrap/>
              <w:overflowPunct/>
              <w:topLinePunct w:val="0"/>
              <w:autoSpaceDE/>
              <w:autoSpaceDN/>
              <w:bidi w:val="0"/>
              <w:adjustRightInd/>
              <w:snapToGrid/>
              <w:spacing w:line="500" w:lineRule="exact"/>
              <w:jc w:val="left"/>
              <w:textAlignment w:val="center"/>
              <w:rPr>
                <w:rFonts w:hint="eastAsia" w:ascii="微软雅黑" w:hAnsi="微软雅黑" w:eastAsia="微软雅黑" w:cs="微软雅黑"/>
                <w:i w:val="0"/>
                <w:iCs w:val="0"/>
                <w:snapToGrid w:val="0"/>
                <w:color w:val="000000"/>
                <w:kern w:val="0"/>
                <w:sz w:val="20"/>
                <w:szCs w:val="20"/>
                <w:u w:val="none"/>
                <w:lang w:val="en-US" w:eastAsia="zh-CN" w:bidi="ar"/>
              </w:rPr>
            </w:pPr>
            <w:r>
              <w:rPr>
                <w:rFonts w:hint="eastAsia" w:ascii="微软雅黑" w:hAnsi="微软雅黑" w:eastAsia="微软雅黑" w:cs="微软雅黑"/>
                <w:i w:val="0"/>
                <w:iCs w:val="0"/>
                <w:snapToGrid w:val="0"/>
                <w:color w:val="000000"/>
                <w:kern w:val="0"/>
                <w:sz w:val="20"/>
                <w:szCs w:val="20"/>
                <w:u w:val="none"/>
                <w:lang w:val="en-US" w:eastAsia="zh-CN" w:bidi="ar"/>
              </w:rPr>
              <w:t>提供专职摄影师</w:t>
            </w:r>
          </w:p>
        </w:tc>
        <w:tc>
          <w:tcPr>
            <w:tcW w:w="2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F8317">
            <w:pPr>
              <w:keepNext w:val="0"/>
              <w:keepLines w:val="0"/>
              <w:pageBreakBefore w:val="0"/>
              <w:widowControl/>
              <w:suppressLineNumbers w:val="0"/>
              <w:kinsoku/>
              <w:wordWrap/>
              <w:overflowPunct/>
              <w:topLinePunct w:val="0"/>
              <w:autoSpaceDE/>
              <w:autoSpaceDN/>
              <w:bidi w:val="0"/>
              <w:adjustRightInd/>
              <w:snapToGrid/>
              <w:spacing w:line="500" w:lineRule="exact"/>
              <w:jc w:val="center"/>
              <w:textAlignment w:val="center"/>
              <w:rPr>
                <w:rFonts w:hint="default" w:ascii="微软雅黑" w:hAnsi="微软雅黑" w:eastAsia="微软雅黑" w:cs="微软雅黑"/>
                <w:i w:val="0"/>
                <w:iCs w:val="0"/>
                <w:color w:val="000000"/>
                <w:sz w:val="20"/>
                <w:szCs w:val="20"/>
                <w:u w:val="none"/>
                <w:lang w:val="en-US" w:eastAsia="zh-CN"/>
              </w:rPr>
            </w:pPr>
            <w:r>
              <w:rPr>
                <w:rFonts w:hint="eastAsia" w:ascii="微软雅黑" w:hAnsi="微软雅黑" w:eastAsia="微软雅黑" w:cs="微软雅黑"/>
                <w:i w:val="0"/>
                <w:iCs w:val="0"/>
                <w:color w:val="000000"/>
                <w:sz w:val="20"/>
                <w:szCs w:val="20"/>
                <w:u w:val="none"/>
                <w:lang w:val="en-US" w:eastAsia="zh-CN"/>
              </w:rPr>
              <w:t>不少于1名</w:t>
            </w:r>
          </w:p>
        </w:tc>
      </w:tr>
    </w:tbl>
    <w:p w14:paraId="67BFF04E">
      <w:pPr>
        <w:shd w:val="clear" w:color="auto" w:fill="FFFFFF"/>
        <w:tabs>
          <w:tab w:val="left" w:pos="720"/>
          <w:tab w:val="left" w:pos="900"/>
        </w:tabs>
        <w:snapToGrid w:val="0"/>
        <w:spacing w:line="560" w:lineRule="exact"/>
        <w:ind w:firstLine="640" w:firstLineChars="200"/>
        <w:rPr>
          <w:rFonts w:ascii="Times New Roman" w:hAnsi="Times New Roman" w:eastAsia="黑体" w:cs="Times New Roman"/>
          <w:sz w:val="32"/>
          <w:szCs w:val="32"/>
          <w:shd w:val="clear" w:color="auto" w:fill="FFFFFF"/>
        </w:rPr>
      </w:pPr>
      <w:r>
        <w:rPr>
          <w:rFonts w:hint="eastAsia" w:ascii="Times New Roman" w:hAnsi="Times New Roman" w:eastAsia="黑体" w:cs="Times New Roman"/>
          <w:sz w:val="32"/>
          <w:szCs w:val="32"/>
          <w:shd w:val="clear" w:color="auto" w:fill="FFFFFF"/>
        </w:rPr>
        <w:t>★三</w:t>
      </w:r>
      <w:r>
        <w:rPr>
          <w:rFonts w:ascii="Times New Roman" w:hAnsi="Times New Roman" w:eastAsia="黑体" w:cs="Times New Roman"/>
          <w:sz w:val="32"/>
          <w:szCs w:val="32"/>
          <w:shd w:val="clear" w:color="auto" w:fill="FFFFFF"/>
        </w:rPr>
        <w:t>、商务要求</w:t>
      </w:r>
    </w:p>
    <w:p w14:paraId="1551D6AA">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1.服务期限：自合同签订</w:t>
      </w:r>
      <w:r>
        <w:rPr>
          <w:rFonts w:hint="eastAsia" w:ascii="仿宋_GB2312" w:hAnsi="仿宋_GB2312" w:eastAsia="仿宋_GB2312" w:cs="仿宋_GB2312"/>
          <w:sz w:val="32"/>
          <w:szCs w:val="32"/>
          <w:shd w:val="clear" w:color="auto" w:fill="FFFFFF"/>
          <w:lang w:val="en-US" w:eastAsia="zh-CN"/>
        </w:rPr>
        <w:t>生效</w:t>
      </w:r>
      <w:r>
        <w:rPr>
          <w:rFonts w:hint="eastAsia" w:ascii="仿宋_GB2312" w:hAnsi="仿宋_GB2312" w:eastAsia="仿宋_GB2312" w:cs="仿宋_GB2312"/>
          <w:sz w:val="32"/>
          <w:szCs w:val="32"/>
          <w:shd w:val="clear" w:color="auto" w:fill="FFFFFF"/>
        </w:rPr>
        <w:t>之日起</w:t>
      </w:r>
      <w:r>
        <w:rPr>
          <w:rFonts w:hint="eastAsia" w:ascii="仿宋_GB2312" w:hAnsi="仿宋_GB2312" w:eastAsia="仿宋_GB2312" w:cs="仿宋_GB2312"/>
          <w:sz w:val="32"/>
          <w:szCs w:val="32"/>
          <w:shd w:val="clear" w:color="auto" w:fill="FFFFFF"/>
          <w:lang w:val="en-US" w:eastAsia="zh-CN"/>
        </w:rPr>
        <w:t>至活动完全结束</w:t>
      </w:r>
      <w:r>
        <w:rPr>
          <w:rFonts w:hint="eastAsia" w:ascii="仿宋_GB2312" w:hAnsi="仿宋_GB2312" w:eastAsia="仿宋_GB2312" w:cs="仿宋_GB2312"/>
          <w:sz w:val="32"/>
          <w:szCs w:val="32"/>
          <w:shd w:val="clear" w:color="auto" w:fill="FFFFFF"/>
        </w:rPr>
        <w:t>。</w:t>
      </w:r>
    </w:p>
    <w:p w14:paraId="41F00DEC">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2.报价：本项目预算及最高限价9.018万元；报价超过采购预算或最高限价，其比选申请文件按无效处理。</w:t>
      </w:r>
    </w:p>
    <w:p w14:paraId="4A719D4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lang w:eastAsia="zh-CN"/>
        </w:rPr>
      </w:pPr>
      <w:r>
        <w:rPr>
          <w:rFonts w:hint="eastAsia" w:ascii="仿宋_GB2312" w:hAnsi="仿宋_GB2312" w:eastAsia="仿宋_GB2312" w:cs="仿宋_GB2312"/>
          <w:sz w:val="32"/>
          <w:szCs w:val="32"/>
          <w:shd w:val="clear" w:color="auto" w:fill="FFFFFF"/>
        </w:rPr>
        <w:t>3.付款方式：本次活动组织完成后，</w:t>
      </w:r>
      <w:r>
        <w:rPr>
          <w:rFonts w:hint="eastAsia" w:ascii="仿宋_GB2312" w:hAnsi="仿宋_GB2312" w:eastAsia="仿宋_GB2312" w:cs="仿宋_GB2312"/>
          <w:sz w:val="32"/>
          <w:szCs w:val="32"/>
          <w:shd w:val="clear" w:color="auto" w:fill="FFFFFF"/>
          <w:lang w:val="en-US" w:eastAsia="zh-CN"/>
        </w:rPr>
        <w:t>采购人收到供应商</w:t>
      </w:r>
      <w:r>
        <w:rPr>
          <w:rFonts w:hint="eastAsia" w:ascii="仿宋_GB2312" w:hAnsi="仿宋_GB2312" w:eastAsia="仿宋_GB2312" w:cs="仿宋_GB2312"/>
          <w:sz w:val="32"/>
          <w:szCs w:val="32"/>
          <w:shd w:val="clear" w:color="auto" w:fill="FFFFFF"/>
        </w:rPr>
        <w:t>提供</w:t>
      </w:r>
      <w:r>
        <w:rPr>
          <w:rFonts w:hint="eastAsia" w:ascii="仿宋_GB2312" w:hAnsi="仿宋_GB2312" w:eastAsia="仿宋_GB2312" w:cs="仿宋_GB2312"/>
          <w:sz w:val="32"/>
          <w:szCs w:val="32"/>
          <w:shd w:val="clear" w:color="auto" w:fill="FFFFFF"/>
          <w:lang w:eastAsia="zh-CN"/>
        </w:rPr>
        <w:t>的</w:t>
      </w:r>
      <w:r>
        <w:rPr>
          <w:rFonts w:hint="eastAsia" w:ascii="仿宋_GB2312" w:hAnsi="仿宋_GB2312" w:eastAsia="仿宋_GB2312" w:cs="仿宋_GB2312"/>
          <w:sz w:val="32"/>
          <w:szCs w:val="32"/>
          <w:shd w:val="clear" w:color="auto" w:fill="FFFFFF"/>
        </w:rPr>
        <w:t>正规有效等额增值税发票及付款资料后10个工作日</w:t>
      </w:r>
      <w:r>
        <w:rPr>
          <w:rFonts w:hint="eastAsia" w:ascii="仿宋_GB2312" w:hAnsi="仿宋_GB2312" w:eastAsia="仿宋_GB2312" w:cs="仿宋_GB2312"/>
          <w:sz w:val="32"/>
          <w:szCs w:val="32"/>
          <w:shd w:val="clear" w:color="auto" w:fill="FFFFFF"/>
          <w:lang w:val="en-US" w:eastAsia="zh-CN"/>
        </w:rPr>
        <w:t>内</w:t>
      </w:r>
      <w:r>
        <w:rPr>
          <w:rFonts w:hint="eastAsia" w:ascii="仿宋_GB2312" w:hAnsi="仿宋_GB2312" w:eastAsia="仿宋_GB2312" w:cs="仿宋_GB2312"/>
          <w:sz w:val="32"/>
          <w:szCs w:val="32"/>
          <w:shd w:val="clear" w:color="auto" w:fill="FFFFFF"/>
        </w:rPr>
        <w:t>支付合同金额100%</w:t>
      </w:r>
      <w:r>
        <w:rPr>
          <w:rFonts w:hint="eastAsia" w:ascii="仿宋_GB2312" w:hAnsi="仿宋_GB2312" w:eastAsia="仿宋_GB2312" w:cs="仿宋_GB2312"/>
          <w:sz w:val="32"/>
          <w:szCs w:val="32"/>
          <w:shd w:val="clear" w:color="auto" w:fill="FFFFFF"/>
          <w:lang w:eastAsia="zh-CN"/>
        </w:rPr>
        <w:t>。</w:t>
      </w:r>
    </w:p>
    <w:p w14:paraId="6E804497">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4.服务地点：采购人指定地点。</w:t>
      </w:r>
    </w:p>
    <w:p w14:paraId="2262AF0A">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5.验收要求：按照相关法律法规的要求进行履约验收。</w:t>
      </w:r>
    </w:p>
    <w:p w14:paraId="4F8FD4E0">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6.</w:t>
      </w:r>
      <w:r>
        <w:rPr>
          <w:rFonts w:hint="eastAsia" w:ascii="仿宋_GB2312" w:hAnsi="仿宋_GB2312" w:eastAsia="仿宋_GB2312" w:cs="仿宋_GB2312"/>
          <w:sz w:val="32"/>
          <w:szCs w:val="32"/>
          <w:shd w:val="clear" w:color="auto" w:fill="FFFFFF"/>
        </w:rPr>
        <w:t>供应商对舞台及展位搭建、撤除、典礼过程中出现的安全责任事故负责。</w:t>
      </w:r>
    </w:p>
    <w:p w14:paraId="417332E9">
      <w:pPr>
        <w:shd w:val="clear" w:color="auto" w:fill="FFFFFF"/>
        <w:tabs>
          <w:tab w:val="left" w:pos="720"/>
          <w:tab w:val="left" w:pos="900"/>
        </w:tabs>
        <w:adjustRightInd w:val="0"/>
        <w:snapToGrid w:val="0"/>
        <w:spacing w:line="560" w:lineRule="exact"/>
        <w:ind w:firstLine="640" w:firstLineChars="200"/>
        <w:rPr>
          <w:rFonts w:hint="eastAsia" w:ascii="仿宋_GB2312" w:hAnsi="仿宋_GB2312" w:eastAsia="仿宋_GB2312" w:cs="仿宋_GB2312"/>
          <w:sz w:val="32"/>
          <w:szCs w:val="32"/>
          <w:shd w:val="clear" w:color="auto" w:fill="FFFFFF"/>
        </w:rPr>
      </w:pPr>
    </w:p>
    <w:p w14:paraId="11464EC8">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highlight w:val="yellow"/>
          <w:shd w:val="clear" w:color="auto" w:fill="FFFFFF"/>
          <w:lang w:eastAsia="zh-CN"/>
        </w:rPr>
      </w:pPr>
      <w:r>
        <w:rPr>
          <w:rFonts w:hint="eastAsia" w:ascii="Times New Roman" w:hAnsi="Times New Roman" w:eastAsia="仿宋_GB2312" w:cs="Times New Roman"/>
          <w:b/>
          <w:bCs/>
          <w:sz w:val="32"/>
          <w:szCs w:val="32"/>
          <w:shd w:val="clear" w:color="auto" w:fill="FFFFFF"/>
          <w:lang w:eastAsia="zh-CN"/>
        </w:rPr>
        <w:t>注：1.本章明确为实质性要求（标注“★”号）的不允许有负偏离，否则做无效响应处理。除实质性要求，其余项目技术指标要求有负偏离仅做扣分处理。</w:t>
      </w:r>
    </w:p>
    <w:p w14:paraId="18DFEBC1">
      <w:pPr>
        <w:shd w:val="clear" w:color="auto" w:fill="FFFFFF"/>
        <w:tabs>
          <w:tab w:val="left" w:pos="720"/>
          <w:tab w:val="left" w:pos="900"/>
        </w:tabs>
        <w:adjustRightInd w:val="0"/>
        <w:snapToGrid w:val="0"/>
        <w:spacing w:line="560" w:lineRule="exact"/>
        <w:ind w:firstLine="643" w:firstLineChars="200"/>
        <w:rPr>
          <w:rFonts w:hint="eastAsia" w:ascii="Times New Roman" w:hAnsi="Times New Roman" w:eastAsia="仿宋_GB2312" w:cs="Times New Roman"/>
          <w:b/>
          <w:bCs/>
          <w:sz w:val="32"/>
          <w:szCs w:val="32"/>
          <w:shd w:val="clear" w:color="auto" w:fill="FFFFFF"/>
          <w:lang w:val="en-US" w:eastAsia="zh-CN"/>
        </w:rPr>
      </w:pPr>
      <w:r>
        <w:rPr>
          <w:rFonts w:hint="eastAsia" w:ascii="Times New Roman" w:hAnsi="Times New Roman" w:eastAsia="仿宋_GB2312" w:cs="Times New Roman"/>
          <w:b/>
          <w:bCs/>
          <w:sz w:val="32"/>
          <w:szCs w:val="32"/>
          <w:shd w:val="clear" w:color="auto" w:fill="FFFFFF"/>
          <w:lang w:eastAsia="zh-CN"/>
        </w:rPr>
        <w:t>2.除本章中明确要求需要单独提供证明材料外的，供应商在响应文件中针对实质性要求仅在偏离表中进行明确响应即可，评审委员会在评审时，仅对响应文件是否违背实质性要求进行审查。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1"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xZmUxZjUzMjY2OGYxMTk4N2M4YTc1ZjZhYTc3N2YifQ=="/>
  </w:docVars>
  <w:rsids>
    <w:rsidRoot w:val="00000000"/>
    <w:rsid w:val="1503033D"/>
    <w:rsid w:val="45110459"/>
    <w:rsid w:val="540E0229"/>
    <w:rsid w:val="5D492296"/>
    <w:rsid w:val="5FEC000C"/>
    <w:rsid w:val="78530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jc w:val="center"/>
      <w:outlineLvl w:val="0"/>
    </w:pPr>
    <w:rPr>
      <w:rFonts w:ascii="仿宋_GB2312" w:hAnsi="仿宋_GB2312" w:eastAsia="仿宋_GB2312"/>
      <w:b/>
      <w:kern w:val="44"/>
      <w:sz w:val="44"/>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rFonts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916</Words>
  <Characters>930</Characters>
  <Lines>0</Lines>
  <Paragraphs>0</Paragraphs>
  <TotalTime>0</TotalTime>
  <ScaleCrop>false</ScaleCrop>
  <LinksUpToDate>false</LinksUpToDate>
  <CharactersWithSpaces>931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2024-10-22T02:21:00Z</dcterms:created>
  <dc:creator>Administrator</dc:creator>
  <cp:lastModifiedBy>国招 杨静</cp:lastModifiedBy>
  <dcterms:modified xsi:type="dcterms:W3CDTF">2026-03-18T09:14:44Z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4028AC1DA5DA4FB9B6A0A8EC7C1DC9EB_13</vt:lpwstr>
  </property>
  <property fmtid="{D5CDD505-2E9C-101B-9397-08002B2CF9AE}" pid="4" name="KSOTemplateDocerSaveRecord">
    <vt:lpwstr>eyJoZGlkIjoiMWRhMTBhYzU5NmFlY2Q4MDk0YWVmZTU1YWVjYmNmZTkiLCJ1c2VySWQiOiI1ODgxMjY0MzIifQ==</vt:lpwstr>
  </property>
</Properties>
</file>