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31065">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79C35757">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31D73FDF">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shd w:val="clear" w:color="auto" w:fill="FFFFFF"/>
        </w:rPr>
      </w:pPr>
      <w:bookmarkStart w:id="1" w:name="_GoBack"/>
      <w:bookmarkEnd w:id="1"/>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p>
    <w:p w14:paraId="18E45E7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本项目共1个包件，采购“5·12”国际护士节文创产品工牌扣，总预算金额2.4万元。</w:t>
      </w:r>
    </w:p>
    <w:tbl>
      <w:tblPr>
        <w:tblStyle w:val="4"/>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336"/>
        <w:gridCol w:w="1078"/>
        <w:gridCol w:w="1661"/>
        <w:gridCol w:w="1525"/>
      </w:tblGrid>
      <w:tr w14:paraId="2A6D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87" w:type="dxa"/>
            <w:noWrap w:val="0"/>
            <w:vAlign w:val="center"/>
          </w:tcPr>
          <w:p w14:paraId="448D850F">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序号</w:t>
            </w:r>
          </w:p>
        </w:tc>
        <w:tc>
          <w:tcPr>
            <w:tcW w:w="3336" w:type="dxa"/>
            <w:noWrap w:val="0"/>
            <w:vAlign w:val="center"/>
          </w:tcPr>
          <w:p w14:paraId="1F3AC58F">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078" w:type="dxa"/>
            <w:noWrap w:val="0"/>
            <w:vAlign w:val="center"/>
          </w:tcPr>
          <w:p w14:paraId="7447972D">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w:t>
            </w:r>
            <w:r>
              <w:rPr>
                <w:rFonts w:hint="eastAsia" w:ascii="Times New Roman" w:hAnsi="Times New Roman" w:eastAsia="仿宋_GB2312" w:cs="Times New Roman"/>
                <w:b/>
                <w:sz w:val="28"/>
                <w:szCs w:val="28"/>
                <w:shd w:val="clear" w:color="auto" w:fill="FFFFFF"/>
                <w:lang w:val="en-US" w:eastAsia="zh-CN"/>
              </w:rPr>
              <w:t>件</w:t>
            </w:r>
            <w:r>
              <w:rPr>
                <w:rFonts w:hint="eastAsia" w:ascii="Times New Roman" w:hAnsi="Times New Roman" w:eastAsia="仿宋_GB2312" w:cs="Times New Roman"/>
                <w:b/>
                <w:sz w:val="28"/>
                <w:szCs w:val="28"/>
                <w:shd w:val="clear" w:color="auto" w:fill="FFFFFF"/>
              </w:rPr>
              <w:t>）</w:t>
            </w:r>
          </w:p>
        </w:tc>
        <w:tc>
          <w:tcPr>
            <w:tcW w:w="1661" w:type="dxa"/>
            <w:noWrap w:val="0"/>
            <w:vAlign w:val="center"/>
          </w:tcPr>
          <w:p w14:paraId="407A725D">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预算金额（万元）</w:t>
            </w:r>
          </w:p>
        </w:tc>
        <w:tc>
          <w:tcPr>
            <w:tcW w:w="1525" w:type="dxa"/>
            <w:noWrap w:val="0"/>
            <w:vAlign w:val="center"/>
          </w:tcPr>
          <w:p w14:paraId="4EB74771">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是否进口</w:t>
            </w:r>
          </w:p>
        </w:tc>
      </w:tr>
      <w:tr w14:paraId="74C7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87" w:type="dxa"/>
            <w:noWrap w:val="0"/>
            <w:vAlign w:val="center"/>
          </w:tcPr>
          <w:p w14:paraId="1EA9FE08">
            <w:pPr>
              <w:tabs>
                <w:tab w:val="left" w:pos="720"/>
                <w:tab w:val="left" w:pos="900"/>
              </w:tabs>
              <w:snapToGrid w:val="0"/>
              <w:spacing w:line="400" w:lineRule="exact"/>
              <w:jc w:val="center"/>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p>
        </w:tc>
        <w:tc>
          <w:tcPr>
            <w:tcW w:w="3336" w:type="dxa"/>
            <w:noWrap w:val="0"/>
            <w:vAlign w:val="center"/>
          </w:tcPr>
          <w:p w14:paraId="160B3D4E">
            <w:pPr>
              <w:tabs>
                <w:tab w:val="left" w:pos="720"/>
                <w:tab w:val="left" w:pos="900"/>
              </w:tabs>
              <w:snapToGrid w:val="0"/>
              <w:spacing w:line="400" w:lineRule="exact"/>
              <w:jc w:val="center"/>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工牌扣</w:t>
            </w:r>
          </w:p>
        </w:tc>
        <w:tc>
          <w:tcPr>
            <w:tcW w:w="1078" w:type="dxa"/>
            <w:noWrap w:val="0"/>
            <w:vAlign w:val="center"/>
          </w:tcPr>
          <w:p w14:paraId="46BF3372">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1600</w:t>
            </w:r>
          </w:p>
        </w:tc>
        <w:tc>
          <w:tcPr>
            <w:tcW w:w="1661" w:type="dxa"/>
            <w:noWrap w:val="0"/>
            <w:vAlign w:val="center"/>
          </w:tcPr>
          <w:p w14:paraId="498D928F">
            <w:pPr>
              <w:spacing w:line="400" w:lineRule="exact"/>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2.4</w:t>
            </w:r>
          </w:p>
        </w:tc>
        <w:tc>
          <w:tcPr>
            <w:tcW w:w="1525" w:type="dxa"/>
            <w:noWrap w:val="0"/>
            <w:vAlign w:val="center"/>
          </w:tcPr>
          <w:p w14:paraId="72DED0B9">
            <w:pPr>
              <w:spacing w:line="400" w:lineRule="exact"/>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否</w:t>
            </w:r>
          </w:p>
        </w:tc>
      </w:tr>
    </w:tbl>
    <w:p w14:paraId="1518656F">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kern w:val="2"/>
          <w:sz w:val="32"/>
          <w:szCs w:val="32"/>
          <w:shd w:val="clear" w:fill="FFFFFF"/>
          <w:lang w:val="en-US" w:eastAsia="zh-CN" w:bidi="ar-SA"/>
        </w:rPr>
        <w:t>二、</w:t>
      </w:r>
      <w:r>
        <w:rPr>
          <w:rFonts w:ascii="Times New Roman" w:hAnsi="Times New Roman" w:eastAsia="黑体" w:cs="Times New Roman"/>
          <w:sz w:val="32"/>
          <w:szCs w:val="32"/>
          <w:highlight w:val="none"/>
          <w:shd w:val="clear" w:color="auto" w:fill="FFFFFF"/>
        </w:rPr>
        <w:t>技术要求</w:t>
      </w:r>
    </w:p>
    <w:p w14:paraId="7C50326B">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1.产品类型与用途</w:t>
      </w:r>
    </w:p>
    <w:p w14:paraId="756F8BF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本次采购的工牌扣为“5·12”国际护士节专属文创纪念品，用于护理人员日常佩戴，固定工作证件或胸牌。产品应兼具实用功能与纪念意义，体现医院对护理队伍的关爱与文化认同。</w:t>
      </w:r>
    </w:p>
    <w:p w14:paraId="39D9B63E">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2.外观设计</w:t>
      </w:r>
    </w:p>
    <w:p w14:paraId="48E07091">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（1）医院文化元素：工牌扣应融入医院IP形象（形象可由医院提供）。</w:t>
      </w:r>
    </w:p>
    <w:p w14:paraId="2DA30F79">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（2）设计细节：工牌扣表面应图案清晰、色彩牢固、不易褪色。</w:t>
      </w:r>
    </w:p>
    <w:p w14:paraId="0144C5D2">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（3）个性化标识：可根据医院需求，在背面或侧面刻印医院简称或护士节年份，增强专属感。</w:t>
      </w:r>
    </w:p>
    <w:p w14:paraId="31900F5A">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3.材质与工艺</w:t>
      </w:r>
    </w:p>
    <w:p w14:paraId="31FBBA3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基材：医院IP形象用PU树脂材料，底座亚克力材料。要求无毒环保，所有材质及表面涂层应无毒、无铅、无镍释放，适合长期接触皮肤佩戴。注：供应商需提供产品说明书或产品彩页或国家认可的第三方检测机构出具的检验检测报告复印件并加盖供应商公章或承诺成交后提供至少以上证明材料之一（提供承诺函原件并加盖供应商公章），证明产品的材质安全性。</w:t>
      </w:r>
    </w:p>
    <w:p w14:paraId="0538AB4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（2）配件：背面采用不锈钢夹扣设计，确保佩戴稳固且不损伤衣物。固定工牌处用夹挂方式，兼容大多数卡套。</w:t>
      </w:r>
    </w:p>
    <w:p w14:paraId="0806A388">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（3）工艺：要求可拉伸，至少60cm长。</w:t>
      </w:r>
    </w:p>
    <w:p w14:paraId="1E27E0EA">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4.尺寸与重量</w:t>
      </w:r>
    </w:p>
    <w:p w14:paraId="0437140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工牌扣尺寸：3cm（±2mm），厚度适中，整体重量不超过10克，佩戴轻便，不造成衣物下坠或不适。</w:t>
      </w:r>
    </w:p>
    <w:p w14:paraId="20964F59">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5.包装要求</w:t>
      </w:r>
    </w:p>
    <w:p w14:paraId="263C6598">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（1）每个工牌扣配备独立透明PVC盒或绒布小礼盒，便于发放与收藏，外盒尺寸（长×宽×高）：45mm（±2mm）×35mm（±2mm）×70mm（±2mm）。</w:t>
      </w:r>
    </w:p>
    <w:p w14:paraId="1A9BBEB2">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（2）包装内附简短文化卡，印制护士节寄语或医院祝福语。</w:t>
      </w:r>
    </w:p>
    <w:p w14:paraId="453B8B2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（3）包装外可统一印制“5·12国际护士节纪念”字样，适合批量发放。</w:t>
      </w:r>
    </w:p>
    <w:p w14:paraId="5FEB7BF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6.质量标准与合规性</w:t>
      </w:r>
    </w:p>
    <w:p w14:paraId="2288265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（1）产品符合国家相关劳保用品或工艺品质量标准，提供合格证。</w:t>
      </w:r>
    </w:p>
    <w:p w14:paraId="54E8B76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（2）表面无划痕、无毛刺、无气泡、无脱色等明显瑕疵。</w:t>
      </w:r>
    </w:p>
    <w:p w14:paraId="58233525">
      <w:pPr>
        <w:shd w:val="clear" w:color="auto" w:fill="FFFFFF"/>
        <w:tabs>
          <w:tab w:val="left" w:pos="720"/>
          <w:tab w:val="left" w:pos="900"/>
        </w:tabs>
        <w:adjustRightInd w:val="0"/>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Times New Roman" w:hAnsi="Times New Roman" w:eastAsia="仿宋_GB2312" w:cs="Times New Roman"/>
          <w:color w:val="000000"/>
          <w:sz w:val="32"/>
          <w:szCs w:val="32"/>
          <w:highlight w:val="none"/>
          <w:shd w:val="clear" w:color="auto" w:fill="FFFFFF"/>
          <w:lang w:val="en-US" w:eastAsia="zh-CN"/>
        </w:rPr>
        <w:t>（3）夹扣安装牢固，经反复开合测试无脱落、无松动。</w:t>
      </w:r>
    </w:p>
    <w:p w14:paraId="40FC36E5">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★三、商务要求</w:t>
      </w:r>
    </w:p>
    <w:p w14:paraId="582CAAFE">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交付要求</w:t>
      </w:r>
    </w:p>
    <w:p w14:paraId="4A0B7973">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交货时间</w:t>
      </w:r>
      <w:r>
        <w:rPr>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合同签订后，</w:t>
      </w:r>
      <w:r>
        <w:rPr>
          <w:rFonts w:hint="eastAsia" w:ascii="Times New Roman" w:hAnsi="Times New Roman" w:eastAsia="仿宋_GB2312" w:cs="Times New Roman"/>
          <w:color w:val="000000"/>
          <w:sz w:val="32"/>
          <w:szCs w:val="32"/>
          <w:shd w:val="clear" w:color="auto" w:fill="FFFFFF"/>
        </w:rPr>
        <w:t>2026年5月8日前完成全部产品交付</w:t>
      </w:r>
      <w:r>
        <w:rPr>
          <w:rFonts w:hint="eastAsia" w:ascii="Times New Roman" w:hAnsi="Times New Roman" w:eastAsia="仿宋_GB2312" w:cs="Times New Roman"/>
          <w:sz w:val="32"/>
          <w:szCs w:val="32"/>
          <w:shd w:val="clear" w:color="auto" w:fill="FFFFFF"/>
        </w:rPr>
        <w:t>。</w:t>
      </w:r>
    </w:p>
    <w:p w14:paraId="4F1B80E4">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shd w:val="clear" w:color="auto" w:fill="FFFFFF"/>
        </w:rPr>
        <w:t>交货地点：成都市中西医结合医院，由供应商负责运输、装卸及分发至各科室。</w:t>
      </w:r>
    </w:p>
    <w:p w14:paraId="41833992">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（3）验收标准：参照《财政部关于进一步加强政府采购需求和履约验收管理的指导意见》（财库〔2016〕205号）《政府采购需求管理办法》（财库〔2021〕22号）等相关法律法规的要求进行履约验收。</w:t>
      </w:r>
    </w:p>
    <w:p w14:paraId="4494B48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shd w:val="clear" w:color="auto" w:fill="FFFFFF"/>
        </w:rPr>
        <w:t>预算金额：</w:t>
      </w:r>
      <w:r>
        <w:rPr>
          <w:rFonts w:hint="eastAsia" w:ascii="Times New Roman" w:hAnsi="Times New Roman" w:eastAsia="仿宋_GB2312" w:cs="Times New Roman"/>
          <w:color w:val="000000"/>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rPr>
        <w:t>万元。</w:t>
      </w:r>
    </w:p>
    <w:p w14:paraId="47F355A8">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shd w:val="clear" w:color="auto" w:fill="FFFFFF"/>
        </w:rPr>
        <w:t>付款方式：</w:t>
      </w:r>
      <w:r>
        <w:rPr>
          <w:rFonts w:hint="eastAsia" w:ascii="Times New Roman" w:hAnsi="Times New Roman" w:eastAsia="仿宋_GB2312" w:cs="Times New Roman"/>
          <w:color w:val="000000"/>
          <w:sz w:val="32"/>
          <w:szCs w:val="32"/>
          <w:shd w:val="clear" w:color="auto" w:fill="FFFFFF"/>
          <w:lang w:val="en-US" w:eastAsia="zh-CN"/>
        </w:rPr>
        <w:t>完成产品验收后，采购人收到供应商开具的合法票据及相关付款资料后10个工作日内，采购人向供应商一次性支付合同款100％</w:t>
      </w:r>
      <w:r>
        <w:rPr>
          <w:rFonts w:ascii="Times New Roman" w:hAnsi="Times New Roman" w:eastAsia="仿宋_GB2312" w:cs="Times New Roman"/>
          <w:color w:val="000000"/>
          <w:sz w:val="32"/>
          <w:szCs w:val="32"/>
          <w:shd w:val="clear" w:color="auto" w:fill="FFFFFF"/>
        </w:rPr>
        <w:t>。</w:t>
      </w:r>
    </w:p>
    <w:p w14:paraId="544128B9">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rPr>
        <w:t>、</w:t>
      </w:r>
      <w:r>
        <w:rPr>
          <w:rFonts w:hint="eastAsia" w:ascii="黑体" w:hAnsi="黑体" w:eastAsia="黑体" w:cs="黑体"/>
          <w:b w:val="0"/>
          <w:bCs w:val="0"/>
          <w:color w:val="000000"/>
          <w:sz w:val="32"/>
          <w:szCs w:val="32"/>
          <w:shd w:val="clear" w:color="auto" w:fill="FFFFFF"/>
          <w:lang w:val="en-US" w:eastAsia="zh-CN"/>
        </w:rPr>
        <w:t>样品</w:t>
      </w:r>
      <w:r>
        <w:rPr>
          <w:rFonts w:hint="eastAsia" w:ascii="黑体" w:hAnsi="黑体" w:eastAsia="黑体" w:cs="黑体"/>
          <w:b w:val="0"/>
          <w:bCs w:val="0"/>
          <w:color w:val="000000"/>
          <w:sz w:val="32"/>
          <w:szCs w:val="32"/>
          <w:shd w:val="clear" w:color="auto" w:fill="FFFFFF"/>
        </w:rPr>
        <w:t>要求</w:t>
      </w:r>
    </w:p>
    <w:p w14:paraId="56088045">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投标人需在投标时提供实物样品1件（含完整包装），样品将作为评审及后期验收的重要依据。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0F0804C8"/>
    <w:rsid w:val="1F0C5D89"/>
    <w:rsid w:val="45110459"/>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2026-04-09T07:11:07Z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