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2CF2C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44AC7B4B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4D0462C3">
      <w:pPr>
        <w:pStyle w:val="2"/>
        <w:spacing w:before="0" w:after="0" w:line="240" w:lineRule="auto"/>
        <w:jc w:val="both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  <w:t>内容</w:t>
      </w:r>
    </w:p>
    <w:p w14:paraId="5AC947D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合理用药系统维保服务项目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，预算金额13万元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tbl>
      <w:tblPr>
        <w:tblStyle w:val="7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77DE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2D63CB1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352" w:type="dxa"/>
            <w:noWrap w:val="0"/>
            <w:vAlign w:val="center"/>
          </w:tcPr>
          <w:p w14:paraId="6FF3D37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34024E8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539" w:type="dxa"/>
            <w:noWrap w:val="0"/>
            <w:vAlign w:val="center"/>
          </w:tcPr>
          <w:p w14:paraId="03629C3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预算金额</w:t>
            </w:r>
          </w:p>
          <w:p w14:paraId="7BE9D9D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（万元/年）</w:t>
            </w:r>
          </w:p>
        </w:tc>
      </w:tr>
      <w:tr w14:paraId="62A3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422A5FF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1116923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合理用药系统维保</w:t>
            </w:r>
          </w:p>
        </w:tc>
        <w:tc>
          <w:tcPr>
            <w:tcW w:w="1680" w:type="dxa"/>
            <w:noWrap w:val="0"/>
            <w:vAlign w:val="center"/>
          </w:tcPr>
          <w:p w14:paraId="1958069B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1C737F0A">
            <w:pPr>
              <w:jc w:val="center"/>
              <w:rPr>
                <w:rFonts w:hint="default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13</w:t>
            </w:r>
          </w:p>
        </w:tc>
      </w:tr>
    </w:tbl>
    <w:p w14:paraId="347786A3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、技术要求</w:t>
      </w:r>
    </w:p>
    <w:p w14:paraId="26A5CDC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为确保临床用药信息的前沿性，提供高频次的数据更新服务，具体标准如下表：</w:t>
      </w:r>
      <w:bookmarkStart w:id="0" w:name="_GoBack"/>
      <w:bookmarkEnd w:id="0"/>
    </w:p>
    <w:p w14:paraId="7A8029EA">
      <w:pPr>
        <w:pStyle w:val="4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合理用药系统品牌：四川美康</w:t>
      </w:r>
    </w:p>
    <w:tbl>
      <w:tblPr>
        <w:tblStyle w:val="7"/>
        <w:tblW w:w="83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9"/>
        <w:gridCol w:w="1531"/>
        <w:gridCol w:w="4800"/>
      </w:tblGrid>
      <w:tr w14:paraId="1BB4F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62BCA5ED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服务项目</w:t>
            </w:r>
          </w:p>
        </w:tc>
        <w:tc>
          <w:tcPr>
            <w:tcW w:w="1531" w:type="dxa"/>
            <w:noWrap w:val="0"/>
            <w:vAlign w:val="top"/>
          </w:tcPr>
          <w:p w14:paraId="1F96FC5E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更新频率</w:t>
            </w:r>
          </w:p>
        </w:tc>
        <w:tc>
          <w:tcPr>
            <w:tcW w:w="4800" w:type="dxa"/>
            <w:noWrap w:val="0"/>
            <w:vAlign w:val="top"/>
          </w:tcPr>
          <w:p w14:paraId="0A487C90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服务内容说明</w:t>
            </w:r>
          </w:p>
        </w:tc>
      </w:tr>
      <w:tr w14:paraId="728E62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1D11C01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合理用药监测系统更新服务</w:t>
            </w:r>
          </w:p>
        </w:tc>
        <w:tc>
          <w:tcPr>
            <w:tcW w:w="1531" w:type="dxa"/>
            <w:noWrap w:val="0"/>
            <w:vAlign w:val="center"/>
          </w:tcPr>
          <w:p w14:paraId="5E93B799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2次/年</w:t>
            </w:r>
          </w:p>
        </w:tc>
        <w:tc>
          <w:tcPr>
            <w:tcW w:w="4800" w:type="dxa"/>
            <w:noWrap w:val="0"/>
            <w:vAlign w:val="center"/>
          </w:tcPr>
          <w:p w14:paraId="7C908847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更新药品适应证、禁忌症、相互作用等审查规则</w:t>
            </w:r>
          </w:p>
        </w:tc>
      </w:tr>
      <w:tr w14:paraId="7AA7B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65605828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PASS临床药学管理系统更新服务</w:t>
            </w:r>
          </w:p>
        </w:tc>
        <w:tc>
          <w:tcPr>
            <w:tcW w:w="1531" w:type="dxa"/>
            <w:noWrap w:val="0"/>
            <w:vAlign w:val="center"/>
          </w:tcPr>
          <w:p w14:paraId="3242F1ED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2次/年</w:t>
            </w:r>
          </w:p>
        </w:tc>
        <w:tc>
          <w:tcPr>
            <w:tcW w:w="4800" w:type="dxa"/>
            <w:noWrap w:val="0"/>
            <w:vAlign w:val="center"/>
          </w:tcPr>
          <w:p w14:paraId="640AFA1D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更新点评规则库及药学资讯</w:t>
            </w:r>
          </w:p>
        </w:tc>
      </w:tr>
      <w:tr w14:paraId="6E08C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35B1B0C2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PASS药师审方干预系统更新服务</w:t>
            </w:r>
          </w:p>
        </w:tc>
        <w:tc>
          <w:tcPr>
            <w:tcW w:w="1531" w:type="dxa"/>
            <w:noWrap w:val="0"/>
            <w:vAlign w:val="center"/>
          </w:tcPr>
          <w:p w14:paraId="06A09425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2次/年</w:t>
            </w:r>
          </w:p>
        </w:tc>
        <w:tc>
          <w:tcPr>
            <w:tcW w:w="4800" w:type="dxa"/>
            <w:noWrap w:val="0"/>
            <w:vAlign w:val="center"/>
          </w:tcPr>
          <w:p w14:paraId="5DB069E2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更新审方逻辑与拦截提示信息</w:t>
            </w:r>
          </w:p>
        </w:tc>
      </w:tr>
      <w:tr w14:paraId="19ECA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10D66908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PASS药品不良反应智能监测系统更新服务</w:t>
            </w:r>
          </w:p>
        </w:tc>
        <w:tc>
          <w:tcPr>
            <w:tcW w:w="1531" w:type="dxa"/>
            <w:noWrap w:val="0"/>
            <w:vAlign w:val="center"/>
          </w:tcPr>
          <w:p w14:paraId="04672FE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2次/年</w:t>
            </w:r>
          </w:p>
        </w:tc>
        <w:tc>
          <w:tcPr>
            <w:tcW w:w="4800" w:type="dxa"/>
            <w:noWrap w:val="0"/>
            <w:vAlign w:val="center"/>
          </w:tcPr>
          <w:p w14:paraId="39372C91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更新不良反应监测数据与预警模型</w:t>
            </w:r>
          </w:p>
        </w:tc>
      </w:tr>
      <w:tr w14:paraId="2290F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44E35869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美康健康助手系统更新服务</w:t>
            </w:r>
          </w:p>
        </w:tc>
        <w:tc>
          <w:tcPr>
            <w:tcW w:w="1531" w:type="dxa"/>
            <w:noWrap w:val="0"/>
            <w:vAlign w:val="center"/>
          </w:tcPr>
          <w:p w14:paraId="65771AF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2次/年</w:t>
            </w:r>
          </w:p>
        </w:tc>
        <w:tc>
          <w:tcPr>
            <w:tcW w:w="4800" w:type="dxa"/>
            <w:noWrap w:val="0"/>
            <w:vAlign w:val="center"/>
          </w:tcPr>
          <w:p w14:paraId="53DF202B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更新患者用药教育材料</w:t>
            </w:r>
          </w:p>
        </w:tc>
      </w:tr>
      <w:tr w14:paraId="26213A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103056B5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合理用药信息支持系统网络版续费更新服务</w:t>
            </w:r>
          </w:p>
        </w:tc>
        <w:tc>
          <w:tcPr>
            <w:tcW w:w="1531" w:type="dxa"/>
            <w:noWrap w:val="0"/>
            <w:vAlign w:val="center"/>
          </w:tcPr>
          <w:p w14:paraId="6F3F733E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10次/年</w:t>
            </w:r>
          </w:p>
        </w:tc>
        <w:tc>
          <w:tcPr>
            <w:tcW w:w="4800" w:type="dxa"/>
            <w:noWrap w:val="0"/>
            <w:vAlign w:val="center"/>
          </w:tcPr>
          <w:p w14:paraId="79CF5FE8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提供高频次的药学数据查询支持</w:t>
            </w:r>
          </w:p>
        </w:tc>
      </w:tr>
      <w:tr w14:paraId="72AA3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3291B29F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互联网审方服务</w:t>
            </w:r>
          </w:p>
        </w:tc>
        <w:tc>
          <w:tcPr>
            <w:tcW w:w="1531" w:type="dxa"/>
            <w:noWrap w:val="0"/>
            <w:vAlign w:val="center"/>
          </w:tcPr>
          <w:p w14:paraId="199F0E57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2次/年</w:t>
            </w:r>
          </w:p>
        </w:tc>
        <w:tc>
          <w:tcPr>
            <w:tcW w:w="4800" w:type="dxa"/>
            <w:noWrap w:val="0"/>
            <w:vAlign w:val="center"/>
          </w:tcPr>
          <w:p w14:paraId="518BBC78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更新互联网端审方数据，保障50万次/年的服务量</w:t>
            </w:r>
          </w:p>
        </w:tc>
      </w:tr>
    </w:tbl>
    <w:p w14:paraId="4624B2A1">
      <w:pPr>
        <w:widowControl/>
        <w:spacing w:line="560" w:lineRule="exact"/>
        <w:rPr>
          <w:rFonts w:ascii="Times New Roman" w:hAnsi="Times New Roman" w:eastAsia="方正仿宋_GB2312" w:cs="Times New Roman"/>
          <w:bCs/>
          <w:color w:val="000000"/>
          <w:kern w:val="2"/>
          <w:sz w:val="22"/>
          <w:szCs w:val="22"/>
        </w:rPr>
      </w:pPr>
    </w:p>
    <w:p w14:paraId="44CEAB5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 xml:space="preserve"> 运维支持与故障响应机制</w:t>
      </w:r>
    </w:p>
    <w:p w14:paraId="7726FCB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(1)提供7*24小时电话或远程桌面技术支持；</w:t>
      </w:r>
    </w:p>
    <w:p w14:paraId="0424DB3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(2)提供7*24小时资深技术人员在线咨询服务；</w:t>
      </w:r>
    </w:p>
    <w:p w14:paraId="1CC100E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(3)在软件使用过程中遇到问题，乙方将通过远程操作、电话或电子邮件的方式为甲方提供技术服务。常规问题，乙方应在48小时内给予答复或解决。疑难问题，乙方应根据具体情况向甲方明确反馈答复时间；</w:t>
      </w:r>
    </w:p>
    <w:p w14:paraId="1A7B92B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(4)提供定期的售后电话回访服务；</w:t>
      </w:r>
    </w:p>
    <w:p w14:paraId="5331567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(5)提供与软件系统相关的咨询服务及建立系统维护制度；</w:t>
      </w:r>
    </w:p>
    <w:p w14:paraId="6FBC486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(6)建立用户档案，跟踪客户使用情况等。</w:t>
      </w:r>
    </w:p>
    <w:p w14:paraId="1068A18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</w:p>
    <w:p w14:paraId="6B506AE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3.现场与远程服务结合</w:t>
      </w:r>
    </w:p>
    <w:p w14:paraId="172A0EF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远程服务：优先通过远程桌面、电话或邮件解决日常使用问题。</w:t>
      </w:r>
    </w:p>
    <w:p w14:paraId="7E038CD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现场服务：针对远程无法解决的问题，安排技术人员到现场处理。</w:t>
      </w:r>
    </w:p>
    <w:p w14:paraId="0356877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</w:p>
    <w:p w14:paraId="77930A3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4. 培训与用户档案管理</w:t>
      </w:r>
    </w:p>
    <w:p w14:paraId="257274D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人员培训： 针对医院人员调整情况，提供免费的远程培训及运维操作指导。</w:t>
      </w:r>
    </w:p>
    <w:p w14:paraId="696A6D9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档案管理： 建立完善的用户档案，完整记录产品版本、更新记录、联系人及问题反馈跟踪情况。</w:t>
      </w:r>
    </w:p>
    <w:p w14:paraId="1116C19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服务报告： 每年提供一份年度维护服务报告，协助医院整理项目相关文档资料。</w:t>
      </w:r>
    </w:p>
    <w:p w14:paraId="61C8243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</w:p>
    <w:p w14:paraId="4ABA1914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</w:pPr>
    </w:p>
    <w:p w14:paraId="5AEE69DA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★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、商务要求</w:t>
      </w:r>
    </w:p>
    <w:p w14:paraId="0B0A7AF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1.服务期限：本项目采用“一采三年”的采购模式，签订三年期服务合同。</w:t>
      </w:r>
    </w:p>
    <w:p w14:paraId="03DE1EC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.付款方式：第一年费用支付：签订合同后，乙方实施团队进场，乙方进行相关服务半年后，提交维保报告进行考核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（详见附件）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，考核合格后，甲方收到乙方出具的合法有效完整的票据及凭证资料，达到付款条件起10个工作日内，支付合同当年总金额的 50 %；当年合同约定的服务时间履行完毕后，乙方提交维保报告进行考核，考核合格后，甲方收到乙方出具的合法有效完整的票据及凭证资料，达到付款条件起10个工作日内，支付合同当年总金额的50%。</w:t>
      </w:r>
    </w:p>
    <w:p w14:paraId="1F29071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.服务地点：成都市中西医结合医院。</w:t>
      </w:r>
    </w:p>
    <w:p w14:paraId="7DF6B71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.验收要求：按照相关法律法规及《成都市中西医结合医院采购项目履约验收实施细则》。</w:t>
      </w:r>
    </w:p>
    <w:p w14:paraId="048E19E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服务标准</w:t>
      </w:r>
    </w:p>
    <w:p w14:paraId="75DA903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5.1服务时长： 提供7×24小时电话、远程桌面及资深技术人员在线咨询服务。</w:t>
      </w:r>
    </w:p>
    <w:p w14:paraId="01B1858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数据安全： 严格保证使用科室的数据安全和数据真实性，不泄露任何患者及医院敏感信息。</w:t>
      </w:r>
    </w:p>
    <w:p w14:paraId="62D2491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5.3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服务质量： 定期进行电话回访，了解产品使用情况及维保问题解决满意度，建立系统维护制度。</w:t>
      </w:r>
    </w:p>
    <w:p w14:paraId="648ADAE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</w:rPr>
        <w:t>注：本章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中标注★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的条款为实质性要求，未响应或不满足，按无效响应处理。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A0ECEF-A40B-46C1-BC2E-66586CF6C9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5C9408E-483C-42AD-A5FA-A8F6678936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AD5C15A-E38B-42C8-9B01-BAA72D872B4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D2E2386-1AE9-4D60-8430-64A0C4B188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ED0CD6F-3009-4AE8-B7EF-C3A24DED0E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B910F3B"/>
    <w:rsid w:val="13683CA5"/>
    <w:rsid w:val="19344BFF"/>
    <w:rsid w:val="3933030F"/>
    <w:rsid w:val="48A56F3E"/>
    <w:rsid w:val="6F69270C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1102</Words>
  <Characters>1265</Characters>
  <Lines>0</Lines>
  <Paragraphs>0</Paragraphs>
  <TotalTime>0</TotalTime>
  <ScaleCrop>false</ScaleCrop>
  <LinksUpToDate>false</LinksUpToDate>
  <CharactersWithSpaces>1276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枫</cp:lastModifiedBy>
  <dcterms:modified xsi:type="dcterms:W3CDTF">2026-04-10T06:18:22Z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C953EDF3BCED4EEBAE35A113EDBC8BCC_11</vt:lpwstr>
  </property>
  <property fmtid="{D5CDD505-2E9C-101B-9397-08002B2CF9AE}" pid="4" name="KSOTemplateDocerSaveRecord">
    <vt:lpwstr>eyJoZGlkIjoiYjRmZjhlYTkwNGFhY2Y4MmQxMGFmZWQxNmZjODhmMjYiLCJ1c2VySWQiOiI0NjQ3MTU4MTMifQ==</vt:lpwstr>
  </property>
</Properties>
</file>