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21E78">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69B10539">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427BBE7A">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bookmarkStart w:id="1" w:name="_GoBack"/>
      <w:bookmarkEnd w:id="1"/>
      <w:r>
        <w:rPr>
          <w:rFonts w:hint="eastAsia" w:ascii="Times New Roman" w:hAnsi="Times New Roman" w:eastAsia="黑体" w:cs="Times New Roman"/>
          <w:color w:val="auto"/>
          <w:sz w:val="32"/>
          <w:szCs w:val="32"/>
          <w:highlight w:val="none"/>
          <w:shd w:val="clear" w:color="auto" w:fill="FFFFFF"/>
        </w:rPr>
        <w:t>一、比选项目内容</w:t>
      </w:r>
    </w:p>
    <w:p w14:paraId="3A8DE01B">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本项目共1个包件，采购健康管理医学中心干保系统维保服务</w:t>
      </w:r>
      <w:r>
        <w:rPr>
          <w:rFonts w:hint="eastAsia" w:ascii="仿宋_GB2312" w:hAnsi="仿宋_GB2312" w:eastAsia="仿宋_GB2312" w:cs="仿宋_GB2312"/>
          <w:color w:val="auto"/>
          <w:sz w:val="32"/>
          <w:szCs w:val="32"/>
          <w:highlight w:val="none"/>
          <w:shd w:val="clear" w:color="auto" w:fill="FFFFFF"/>
          <w:lang w:val="en-US" w:eastAsia="zh-CN"/>
        </w:rPr>
        <w:t>项目</w:t>
      </w:r>
      <w:r>
        <w:rPr>
          <w:rFonts w:hint="eastAsia" w:ascii="仿宋_GB2312" w:hAnsi="仿宋_GB2312" w:eastAsia="仿宋_GB2312" w:cs="仿宋_GB2312"/>
          <w:color w:val="auto"/>
          <w:sz w:val="32"/>
          <w:szCs w:val="32"/>
          <w:highlight w:val="none"/>
          <w:shd w:val="clear" w:color="auto" w:fill="FFFFFF"/>
        </w:rPr>
        <w:t>，预算金额</w:t>
      </w:r>
      <w:r>
        <w:rPr>
          <w:rFonts w:hint="eastAsia" w:ascii="仿宋_GB2312" w:hAnsi="仿宋_GB2312" w:eastAsia="仿宋_GB2312" w:cs="仿宋_GB2312"/>
          <w:color w:val="auto"/>
          <w:sz w:val="32"/>
          <w:szCs w:val="32"/>
          <w:highlight w:val="none"/>
          <w:shd w:val="clear" w:color="auto" w:fill="FFFFFF"/>
          <w:lang w:val="en-US" w:eastAsia="zh-CN"/>
        </w:rPr>
        <w:t>8</w:t>
      </w:r>
      <w:r>
        <w:rPr>
          <w:rFonts w:hint="eastAsia" w:ascii="仿宋_GB2312" w:hAnsi="仿宋_GB2312" w:eastAsia="仿宋_GB2312" w:cs="仿宋_GB2312"/>
          <w:color w:val="auto"/>
          <w:sz w:val="32"/>
          <w:szCs w:val="32"/>
          <w:highlight w:val="none"/>
          <w:shd w:val="clear" w:color="auto" w:fill="FFFFFF"/>
        </w:rPr>
        <w:t>万元。</w:t>
      </w:r>
    </w:p>
    <w:tbl>
      <w:tblPr>
        <w:tblStyle w:val="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4A65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2BA238A1">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ascii="Times New Roman" w:hAnsi="Times New Roman" w:eastAsia="仿宋_GB2312" w:cs="Times New Roman"/>
                <w:b/>
                <w:color w:val="auto"/>
                <w:sz w:val="28"/>
                <w:szCs w:val="28"/>
                <w:highlight w:val="none"/>
                <w:shd w:val="clear" w:color="auto" w:fill="FFFFFF"/>
              </w:rPr>
              <w:t>包件</w:t>
            </w:r>
          </w:p>
        </w:tc>
        <w:tc>
          <w:tcPr>
            <w:tcW w:w="3352" w:type="dxa"/>
            <w:vAlign w:val="center"/>
          </w:tcPr>
          <w:p w14:paraId="64308F75">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标的</w:t>
            </w:r>
            <w:r>
              <w:rPr>
                <w:rFonts w:ascii="Times New Roman" w:hAnsi="Times New Roman" w:eastAsia="仿宋_GB2312" w:cs="Times New Roman"/>
                <w:b/>
                <w:color w:val="auto"/>
                <w:sz w:val="28"/>
                <w:szCs w:val="28"/>
                <w:highlight w:val="none"/>
                <w:shd w:val="clear" w:color="auto" w:fill="FFFFFF"/>
              </w:rPr>
              <w:t>名称</w:t>
            </w:r>
          </w:p>
        </w:tc>
        <w:tc>
          <w:tcPr>
            <w:tcW w:w="1680" w:type="dxa"/>
            <w:vAlign w:val="center"/>
          </w:tcPr>
          <w:p w14:paraId="55BA1B22">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ascii="Times New Roman" w:hAnsi="Times New Roman" w:eastAsia="仿宋_GB2312" w:cs="Times New Roman"/>
                <w:b/>
                <w:color w:val="auto"/>
                <w:sz w:val="28"/>
                <w:szCs w:val="28"/>
                <w:highlight w:val="none"/>
                <w:shd w:val="clear" w:color="auto" w:fill="FFFFFF"/>
              </w:rPr>
              <w:t>数量</w:t>
            </w:r>
            <w:r>
              <w:rPr>
                <w:rFonts w:hint="eastAsia" w:ascii="Times New Roman" w:hAnsi="Times New Roman" w:eastAsia="仿宋_GB2312" w:cs="Times New Roman"/>
                <w:b/>
                <w:color w:val="auto"/>
                <w:sz w:val="28"/>
                <w:szCs w:val="28"/>
                <w:highlight w:val="none"/>
                <w:shd w:val="clear" w:color="auto" w:fill="FFFFFF"/>
              </w:rPr>
              <w:t>（项）</w:t>
            </w:r>
          </w:p>
        </w:tc>
        <w:tc>
          <w:tcPr>
            <w:tcW w:w="2539" w:type="dxa"/>
            <w:vAlign w:val="center"/>
          </w:tcPr>
          <w:p w14:paraId="4BD92245">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预算金额</w:t>
            </w:r>
          </w:p>
          <w:p w14:paraId="6E4EBE77">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（万元）</w:t>
            </w:r>
          </w:p>
        </w:tc>
      </w:tr>
      <w:tr w14:paraId="6F3F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0483EC4E">
            <w:pPr>
              <w:shd w:val="clear" w:color="auto" w:fill="FFFFFF"/>
              <w:tabs>
                <w:tab w:val="left" w:pos="720"/>
              </w:tabs>
              <w:snapToGrid w:val="0"/>
              <w:spacing w:line="400" w:lineRule="exact"/>
              <w:jc w:val="center"/>
              <w:rPr>
                <w:rFonts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rPr>
              <w:t>1</w:t>
            </w:r>
          </w:p>
        </w:tc>
        <w:tc>
          <w:tcPr>
            <w:tcW w:w="3352" w:type="dxa"/>
            <w:vAlign w:val="center"/>
          </w:tcPr>
          <w:p w14:paraId="43BFF828">
            <w:pPr>
              <w:shd w:val="clear" w:color="auto" w:fill="FFFFFF"/>
              <w:tabs>
                <w:tab w:val="left" w:pos="720"/>
              </w:tabs>
              <w:snapToGrid w:val="0"/>
              <w:spacing w:line="400" w:lineRule="exact"/>
              <w:jc w:val="center"/>
              <w:rPr>
                <w:rFonts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rPr>
              <w:t>干保系统维保服务</w:t>
            </w:r>
          </w:p>
        </w:tc>
        <w:tc>
          <w:tcPr>
            <w:tcW w:w="1680" w:type="dxa"/>
            <w:vAlign w:val="center"/>
          </w:tcPr>
          <w:p w14:paraId="7BA299EA">
            <w:pPr>
              <w:jc w:val="center"/>
              <w:rPr>
                <w:rFonts w:ascii="仿宋_GB2312" w:hAnsi="Times New Roman" w:eastAsia="仿宋_GB2312" w:cs="仿宋_GB2312"/>
                <w:color w:val="auto"/>
                <w:sz w:val="36"/>
                <w:szCs w:val="36"/>
                <w:highlight w:val="none"/>
              </w:rPr>
            </w:pPr>
            <w:r>
              <w:rPr>
                <w:rFonts w:hint="eastAsia" w:ascii="仿宋_GB2312" w:hAnsi="Times New Roman" w:eastAsia="仿宋_GB2312" w:cs="仿宋_GB2312"/>
                <w:color w:val="auto"/>
                <w:sz w:val="36"/>
                <w:szCs w:val="36"/>
                <w:highlight w:val="none"/>
              </w:rPr>
              <w:t>1</w:t>
            </w:r>
          </w:p>
        </w:tc>
        <w:tc>
          <w:tcPr>
            <w:tcW w:w="2539" w:type="dxa"/>
            <w:vAlign w:val="center"/>
          </w:tcPr>
          <w:p w14:paraId="69E72E40">
            <w:pPr>
              <w:jc w:val="center"/>
              <w:rPr>
                <w:rFonts w:hint="default" w:ascii="Times New Roman" w:hAnsi="Times New Roman" w:eastAsia="仿宋_GB2312" w:cs="Times New Roman"/>
                <w:color w:val="auto"/>
                <w:sz w:val="28"/>
                <w:szCs w:val="28"/>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8</w:t>
            </w:r>
          </w:p>
        </w:tc>
      </w:tr>
    </w:tbl>
    <w:p w14:paraId="4CF0B7AD">
      <w:pPr>
        <w:shd w:val="clear" w:color="auto" w:fill="FFFFFF"/>
        <w:tabs>
          <w:tab w:val="left" w:pos="720"/>
          <w:tab w:val="left" w:pos="900"/>
        </w:tabs>
        <w:snapToGrid w:val="0"/>
        <w:spacing w:line="560" w:lineRule="exact"/>
        <w:ind w:firstLine="640" w:firstLineChars="200"/>
        <w:rPr>
          <w:rFonts w:ascii="仿宋_GB2312" w:hAnsi="Times New Roman" w:eastAsia="仿宋_GB2312" w:cs="仿宋_GB2312"/>
          <w:color w:val="auto"/>
          <w:sz w:val="36"/>
          <w:szCs w:val="36"/>
          <w:highlight w:val="none"/>
        </w:rPr>
      </w:pPr>
      <w:r>
        <w:rPr>
          <w:rFonts w:hint="eastAsia" w:ascii="Times New Roman" w:hAnsi="Times New Roman" w:eastAsia="黑体" w:cs="Times New Roman"/>
          <w:color w:val="auto"/>
          <w:sz w:val="32"/>
          <w:szCs w:val="32"/>
          <w:highlight w:val="none"/>
          <w:shd w:val="clear" w:color="auto" w:fill="FFFFFF"/>
        </w:rPr>
        <w:t>二</w:t>
      </w:r>
      <w:r>
        <w:rPr>
          <w:rFonts w:ascii="Times New Roman" w:hAnsi="Times New Roman" w:eastAsia="黑体" w:cs="Times New Roman"/>
          <w:color w:val="auto"/>
          <w:sz w:val="32"/>
          <w:szCs w:val="32"/>
          <w:highlight w:val="none"/>
          <w:shd w:val="clear" w:color="auto" w:fill="FFFFFF"/>
        </w:rPr>
        <w:t>、</w:t>
      </w:r>
      <w:r>
        <w:rPr>
          <w:rFonts w:hint="eastAsia" w:ascii="Times New Roman" w:hAnsi="Times New Roman" w:eastAsia="黑体" w:cs="Times New Roman"/>
          <w:color w:val="auto"/>
          <w:sz w:val="32"/>
          <w:szCs w:val="32"/>
          <w:highlight w:val="none"/>
          <w:shd w:val="clear" w:color="auto" w:fill="FFFFFF"/>
          <w:lang w:val="en-US" w:eastAsia="zh-CN"/>
        </w:rPr>
        <w:t>技术</w:t>
      </w:r>
      <w:r>
        <w:rPr>
          <w:rFonts w:ascii="Times New Roman" w:hAnsi="Times New Roman" w:eastAsia="黑体" w:cs="Times New Roman"/>
          <w:color w:val="auto"/>
          <w:sz w:val="32"/>
          <w:szCs w:val="32"/>
          <w:highlight w:val="none"/>
          <w:shd w:val="clear" w:color="auto" w:fill="FFFFFF"/>
        </w:rPr>
        <w:t>要求</w:t>
      </w:r>
    </w:p>
    <w:p w14:paraId="537F0D98">
      <w:pPr>
        <w:shd w:val="clear" w:color="auto" w:fill="FFFFFF"/>
        <w:tabs>
          <w:tab w:val="left" w:pos="720"/>
          <w:tab w:val="left" w:pos="900"/>
        </w:tabs>
        <w:snapToGrid w:val="0"/>
        <w:spacing w:line="560" w:lineRule="exact"/>
        <w:ind w:firstLine="720" w:firstLineChars="200"/>
        <w:rPr>
          <w:rFonts w:hint="eastAsia" w:ascii="仿宋_GB2312" w:hAnsi="Times New Roman" w:eastAsia="仿宋_GB2312" w:cs="仿宋_GB2312"/>
          <w:color w:val="auto"/>
          <w:sz w:val="36"/>
          <w:szCs w:val="36"/>
          <w:highlight w:val="none"/>
          <w:lang w:val="en-US" w:eastAsia="zh-CN"/>
        </w:rPr>
      </w:pPr>
      <w:r>
        <w:rPr>
          <w:rFonts w:hint="eastAsia" w:ascii="仿宋_GB2312" w:hAnsi="Times New Roman" w:eastAsia="仿宋_GB2312" w:cs="仿宋_GB2312"/>
          <w:color w:val="auto"/>
          <w:sz w:val="36"/>
          <w:szCs w:val="36"/>
          <w:highlight w:val="none"/>
          <w:lang w:val="en-US" w:eastAsia="zh-CN"/>
        </w:rPr>
        <w:t>现有干保系统品牌：西极汇智。</w:t>
      </w:r>
    </w:p>
    <w:p w14:paraId="34D2C4A2">
      <w:pPr>
        <w:shd w:val="clear" w:color="auto" w:fill="FFFFFF"/>
        <w:tabs>
          <w:tab w:val="left" w:pos="720"/>
          <w:tab w:val="left" w:pos="900"/>
        </w:tabs>
        <w:snapToGrid w:val="0"/>
        <w:spacing w:line="560" w:lineRule="exact"/>
        <w:ind w:firstLine="720" w:firstLineChars="200"/>
        <w:rPr>
          <w:rFonts w:hint="default" w:ascii="仿宋_GB2312" w:hAnsi="Times New Roman" w:eastAsia="仿宋_GB2312" w:cs="仿宋_GB2312"/>
          <w:color w:val="auto"/>
          <w:sz w:val="36"/>
          <w:szCs w:val="36"/>
          <w:highlight w:val="none"/>
          <w:lang w:val="en-US" w:eastAsia="zh-CN"/>
        </w:rPr>
      </w:pPr>
      <w:r>
        <w:rPr>
          <w:rFonts w:hint="default" w:ascii="仿宋_GB2312" w:hAnsi="Times New Roman" w:eastAsia="仿宋_GB2312" w:cs="仿宋_GB2312"/>
          <w:color w:val="auto"/>
          <w:sz w:val="36"/>
          <w:szCs w:val="36"/>
          <w:highlight w:val="none"/>
          <w:lang w:val="en-US" w:eastAsia="zh-CN"/>
        </w:rPr>
        <w:t>基础维保服务</w:t>
      </w:r>
      <w:r>
        <w:rPr>
          <w:rFonts w:hint="eastAsia" w:ascii="仿宋_GB2312" w:hAnsi="Times New Roman" w:eastAsia="仿宋_GB2312" w:cs="仿宋_GB2312"/>
          <w:color w:val="auto"/>
          <w:sz w:val="36"/>
          <w:szCs w:val="36"/>
          <w:highlight w:val="none"/>
          <w:lang w:val="en-US" w:eastAsia="zh-CN"/>
        </w:rPr>
        <w:t>清单如下：</w:t>
      </w:r>
    </w:p>
    <w:p w14:paraId="583478CE">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1、干保系统正常运行；</w:t>
      </w:r>
    </w:p>
    <w:p w14:paraId="0F22EDAF">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2、院内集成平台、HIS系统、医技系统以及维保期内可能发生检查项的设备接口测试，保障正常运行；</w:t>
      </w:r>
    </w:p>
    <w:p w14:paraId="3D5F76B4">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3、放射、超声、检验等医技调整到医院最新医嘱价表；</w:t>
      </w:r>
    </w:p>
    <w:p w14:paraId="40252F1F">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4、检后保健对象疾病数据分析服务；</w:t>
      </w:r>
    </w:p>
    <w:p w14:paraId="74866245">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5、检后保健单位财务数据分析服务。</w:t>
      </w:r>
    </w:p>
    <w:p w14:paraId="72DD805C">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6、确保向市卫生健康委员会相关平台传输数据的准确性、规范性、时效性、安全性。</w:t>
      </w:r>
    </w:p>
    <w:p w14:paraId="2A7E9582">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r>
        <w:rPr>
          <w:rFonts w:hint="eastAsia" w:ascii="Times New Roman" w:hAnsi="Times New Roman" w:eastAsia="黑体" w:cs="Times New Roman"/>
          <w:color w:val="auto"/>
          <w:sz w:val="32"/>
          <w:szCs w:val="32"/>
          <w:highlight w:val="none"/>
          <w:shd w:val="clear" w:color="auto" w:fill="FFFFFF"/>
        </w:rPr>
        <w:t>★三</w:t>
      </w:r>
      <w:r>
        <w:rPr>
          <w:rFonts w:ascii="Times New Roman" w:hAnsi="Times New Roman" w:eastAsia="黑体" w:cs="Times New Roman"/>
          <w:color w:val="auto"/>
          <w:sz w:val="32"/>
          <w:szCs w:val="32"/>
          <w:highlight w:val="none"/>
          <w:shd w:val="clear" w:color="auto" w:fill="FFFFFF"/>
        </w:rPr>
        <w:t>、商务要求</w:t>
      </w:r>
    </w:p>
    <w:p w14:paraId="47409A55">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1.服务期限：自合同签订</w:t>
      </w:r>
      <w:r>
        <w:rPr>
          <w:rFonts w:hint="eastAsia" w:ascii="仿宋_GB2312" w:hAnsi="仿宋_GB2312" w:eastAsia="仿宋_GB2312" w:cs="仿宋_GB2312"/>
          <w:color w:val="auto"/>
          <w:sz w:val="32"/>
          <w:szCs w:val="32"/>
          <w:highlight w:val="none"/>
          <w:shd w:val="clear" w:color="auto" w:fill="FFFFFF"/>
          <w:lang w:val="en-US" w:eastAsia="zh-CN"/>
        </w:rPr>
        <w:t>生效</w:t>
      </w:r>
      <w:r>
        <w:rPr>
          <w:rFonts w:hint="eastAsia" w:ascii="仿宋_GB2312" w:hAnsi="仿宋_GB2312" w:eastAsia="仿宋_GB2312" w:cs="仿宋_GB2312"/>
          <w:color w:val="auto"/>
          <w:sz w:val="32"/>
          <w:szCs w:val="32"/>
          <w:highlight w:val="none"/>
          <w:shd w:val="clear" w:color="auto" w:fill="FFFFFF"/>
        </w:rPr>
        <w:t>之日起</w:t>
      </w:r>
      <w:r>
        <w:rPr>
          <w:rFonts w:hint="eastAsia" w:ascii="仿宋_GB2312" w:hAnsi="仿宋_GB2312" w:eastAsia="仿宋_GB2312" w:cs="仿宋_GB2312"/>
          <w:color w:val="auto"/>
          <w:sz w:val="32"/>
          <w:szCs w:val="32"/>
          <w:highlight w:val="none"/>
          <w:shd w:val="clear" w:color="auto" w:fill="FFFFFF"/>
          <w:lang w:val="en-US" w:eastAsia="zh-CN"/>
        </w:rPr>
        <w:t>一年</w:t>
      </w:r>
      <w:r>
        <w:rPr>
          <w:rFonts w:hint="eastAsia" w:ascii="仿宋_GB2312" w:hAnsi="仿宋_GB2312" w:eastAsia="仿宋_GB2312" w:cs="仿宋_GB2312"/>
          <w:color w:val="auto"/>
          <w:sz w:val="32"/>
          <w:szCs w:val="32"/>
          <w:highlight w:val="none"/>
          <w:shd w:val="clear" w:color="auto" w:fill="FFFFFF"/>
        </w:rPr>
        <w:t>。</w:t>
      </w:r>
    </w:p>
    <w:p w14:paraId="3714EBCF">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2.报价：本项目预算</w:t>
      </w:r>
      <w:r>
        <w:rPr>
          <w:rFonts w:hint="eastAsia" w:ascii="仿宋_GB2312" w:hAnsi="仿宋_GB2312" w:eastAsia="仿宋_GB2312" w:cs="仿宋_GB2312"/>
          <w:color w:val="auto"/>
          <w:sz w:val="32"/>
          <w:szCs w:val="32"/>
          <w:highlight w:val="none"/>
          <w:shd w:val="clear" w:color="auto" w:fill="FFFFFF"/>
          <w:lang w:val="en-US" w:eastAsia="zh-CN"/>
        </w:rPr>
        <w:t>及最高限价8</w:t>
      </w:r>
      <w:r>
        <w:rPr>
          <w:rFonts w:hint="eastAsia" w:ascii="仿宋_GB2312" w:hAnsi="仿宋_GB2312" w:eastAsia="仿宋_GB2312" w:cs="仿宋_GB2312"/>
          <w:color w:val="auto"/>
          <w:sz w:val="32"/>
          <w:szCs w:val="32"/>
          <w:highlight w:val="none"/>
          <w:shd w:val="clear" w:color="auto" w:fill="FFFFFF"/>
        </w:rPr>
        <w:t>万元；报价超过采购预算</w:t>
      </w:r>
      <w:r>
        <w:rPr>
          <w:rFonts w:hint="eastAsia" w:ascii="仿宋_GB2312" w:hAnsi="仿宋_GB2312" w:eastAsia="仿宋_GB2312" w:cs="仿宋_GB2312"/>
          <w:color w:val="auto"/>
          <w:sz w:val="32"/>
          <w:szCs w:val="32"/>
          <w:highlight w:val="none"/>
          <w:shd w:val="clear" w:color="auto" w:fill="FFFFFF"/>
          <w:lang w:val="en-US" w:eastAsia="zh-CN"/>
        </w:rPr>
        <w:t>或最高限价</w:t>
      </w:r>
      <w:r>
        <w:rPr>
          <w:rFonts w:hint="eastAsia" w:ascii="仿宋_GB2312" w:hAnsi="仿宋_GB2312" w:eastAsia="仿宋_GB2312" w:cs="仿宋_GB2312"/>
          <w:color w:val="auto"/>
          <w:sz w:val="32"/>
          <w:szCs w:val="32"/>
          <w:highlight w:val="none"/>
          <w:shd w:val="clear" w:color="auto" w:fill="FFFFFF"/>
        </w:rPr>
        <w:t>，其比选申请文件按无效处理。</w:t>
      </w:r>
    </w:p>
    <w:p w14:paraId="399E9706">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3.付款方式：</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合同签订后且</w:t>
      </w:r>
      <w:r>
        <w:rPr>
          <w:rFonts w:hint="eastAsia" w:ascii="仿宋_GB2312" w:hAnsi="仿宋_GB2312" w:eastAsia="仿宋_GB2312" w:cs="仿宋_GB2312"/>
          <w:color w:val="auto"/>
          <w:sz w:val="32"/>
          <w:szCs w:val="32"/>
          <w:highlight w:val="none"/>
          <w:shd w:val="clear" w:color="auto" w:fill="FFFFFF"/>
        </w:rPr>
        <w:t>采购人收到供应商开具的合法票据及相关付款资料后10个工作日内，采购人向供应商支付合同款</w:t>
      </w:r>
      <w:r>
        <w:rPr>
          <w:rFonts w:hint="eastAsia" w:ascii="仿宋_GB2312" w:hAnsi="仿宋_GB2312" w:eastAsia="仿宋_GB2312" w:cs="仿宋_GB2312"/>
          <w:color w:val="auto"/>
          <w:sz w:val="32"/>
          <w:szCs w:val="32"/>
          <w:highlight w:val="none"/>
          <w:shd w:val="clear" w:color="auto" w:fill="FFFFFF"/>
          <w:lang w:val="en-US" w:eastAsia="zh-CN"/>
        </w:rPr>
        <w:t>50</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履约完成且</w:t>
      </w:r>
      <w:r>
        <w:rPr>
          <w:rFonts w:hint="eastAsia" w:ascii="仿宋_GB2312" w:hAnsi="仿宋_GB2312" w:eastAsia="仿宋_GB2312" w:cs="仿宋_GB2312"/>
          <w:color w:val="auto"/>
          <w:sz w:val="32"/>
          <w:szCs w:val="32"/>
          <w:highlight w:val="none"/>
          <w:shd w:val="clear" w:color="auto" w:fill="FFFFFF"/>
        </w:rPr>
        <w:t>采购人收到供应商开具的合法票据及相关付款资料后10个工作日内</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采购人向供应商支付合同款</w:t>
      </w:r>
      <w:r>
        <w:rPr>
          <w:rFonts w:hint="eastAsia" w:ascii="仿宋_GB2312" w:hAnsi="仿宋_GB2312" w:eastAsia="仿宋_GB2312" w:cs="仿宋_GB2312"/>
          <w:color w:val="auto"/>
          <w:sz w:val="32"/>
          <w:szCs w:val="32"/>
          <w:highlight w:val="none"/>
          <w:shd w:val="clear" w:color="auto" w:fill="FFFFFF"/>
          <w:lang w:val="en-US" w:eastAsia="zh-CN"/>
        </w:rPr>
        <w:t>50</w:t>
      </w:r>
      <w:r>
        <w:rPr>
          <w:rFonts w:hint="eastAsia" w:ascii="仿宋_GB2312" w:hAnsi="仿宋_GB2312" w:eastAsia="仿宋_GB2312" w:cs="仿宋_GB2312"/>
          <w:color w:val="auto"/>
          <w:sz w:val="32"/>
          <w:szCs w:val="32"/>
          <w:highlight w:val="none"/>
          <w:shd w:val="clear" w:color="auto" w:fill="FFFFFF"/>
        </w:rPr>
        <w:t>％。</w:t>
      </w:r>
    </w:p>
    <w:p w14:paraId="64105763">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4.服务地点：成都市中西医结合医院南区。</w:t>
      </w:r>
    </w:p>
    <w:p w14:paraId="73221C4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5.验收要求：按照相关法律法规的要求进行履约验收。</w:t>
      </w:r>
    </w:p>
    <w:p w14:paraId="7FE56C3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p>
    <w:p w14:paraId="036B9355">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color w:val="auto"/>
          <w:sz w:val="32"/>
          <w:szCs w:val="32"/>
          <w:highlight w:val="none"/>
          <w:shd w:val="clear" w:color="auto" w:fill="FFFFFF"/>
          <w:lang w:eastAsia="zh-CN"/>
        </w:rPr>
      </w:pPr>
      <w:r>
        <w:rPr>
          <w:rFonts w:hint="eastAsia" w:ascii="Times New Roman" w:hAnsi="Times New Roman" w:eastAsia="仿宋_GB2312" w:cs="Times New Roman"/>
          <w:b/>
          <w:bCs/>
          <w:color w:val="auto"/>
          <w:sz w:val="32"/>
          <w:szCs w:val="32"/>
          <w:highlight w:val="none"/>
          <w:shd w:val="clear" w:color="auto" w:fill="FFFFFF"/>
          <w:lang w:eastAsia="zh-CN"/>
        </w:rPr>
        <w:t>注：1.本章明确为实质性要求（标注“★”号）的不允许有负偏离，否则做无效响应处理。除实质性要求，其余项目技术指标要求有负偏离仅做扣分处理。</w:t>
      </w:r>
    </w:p>
    <w:p w14:paraId="577A7376">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color w:val="auto"/>
          <w:sz w:val="32"/>
          <w:szCs w:val="32"/>
          <w:highlight w:val="none"/>
          <w:shd w:val="clear" w:color="auto" w:fill="FFFFFF"/>
          <w:lang w:eastAsia="zh-CN"/>
        </w:rPr>
      </w:pPr>
      <w:r>
        <w:rPr>
          <w:rFonts w:hint="eastAsia" w:ascii="Times New Roman" w:hAnsi="Times New Roman" w:eastAsia="仿宋_GB2312" w:cs="Times New Roman"/>
          <w:b/>
          <w:bCs/>
          <w:color w:val="auto"/>
          <w:sz w:val="32"/>
          <w:szCs w:val="32"/>
          <w:highlight w:val="none"/>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p w14:paraId="19C23466">
      <w:pPr>
        <w:shd w:val="clear" w:color="auto" w:fill="FFFFFF"/>
        <w:tabs>
          <w:tab w:val="left" w:pos="720"/>
          <w:tab w:val="left" w:pos="900"/>
        </w:tabs>
        <w:snapToGrid w:val="0"/>
        <w:spacing w:line="560" w:lineRule="exact"/>
        <w:rPr>
          <w:rFonts w:hint="eastAsia" w:ascii="Times New Roman" w:hAnsi="Times New Roman" w:eastAsia="黑体" w:cs="Times New Roman"/>
          <w:sz w:val="32"/>
          <w:szCs w:val="32"/>
          <w:highlight w:val="none"/>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34043DD6"/>
    <w:rsid w:val="45110459"/>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916</Words>
  <Characters>930</Characters>
  <Lines>0</Lines>
  <Paragraphs>0</Paragraphs>
  <TotalTime>0</TotalTime>
  <ScaleCrop>false</ScaleCrop>
  <LinksUpToDate>false</LinksUpToDate>
  <CharactersWithSpaces>931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2026-05-28T02:23:41Z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eyJoZGlkIjoiMWRhMTBhYzU5NmFlY2Q4MDk0YWVmZTU1YWVjYmNmZTkiLCJ1c2VySWQiOiI0Mzg0NTQzMTEifQ==</vt:lpwstr>
  </property>
</Properties>
</file>