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1E7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69B10539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2DF8D66F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eastAsia="黑体" w:cs="Times New Roman"/>
          <w:sz w:val="32"/>
          <w:szCs w:val="32"/>
          <w:shd w:val="clear" w:color="auto" w:fill="FFFFFF"/>
        </w:rPr>
        <w:t>一、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项目概述</w:t>
      </w:r>
    </w:p>
    <w:p w14:paraId="6F0F9E0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成都市中西医结合医院拟开展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内部控制风险评估及</w:t>
      </w:r>
      <w:r>
        <w:rPr>
          <w:rFonts w:hint="eastAsia" w:hAnsi="仿宋_GB2312"/>
          <w:sz w:val="32"/>
          <w:szCs w:val="32"/>
          <w:shd w:val="clear" w:color="auto" w:fill="FFFFFF"/>
        </w:rPr>
        <w:t>内部控制评价事项，通过购买</w:t>
      </w:r>
      <w:bookmarkStart w:id="1" w:name="_GoBack"/>
      <w:bookmarkEnd w:id="1"/>
      <w:r>
        <w:rPr>
          <w:rFonts w:hint="eastAsia" w:hAnsi="仿宋_GB2312"/>
          <w:sz w:val="32"/>
          <w:szCs w:val="32"/>
          <w:shd w:val="clear" w:color="auto" w:fill="FFFFFF"/>
        </w:rPr>
        <w:t>服务方式采购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hAnsi="仿宋_GB2312"/>
          <w:sz w:val="32"/>
          <w:szCs w:val="32"/>
          <w:shd w:val="clear" w:color="auto" w:fill="FFFFFF"/>
        </w:rPr>
        <w:t>家第三方机构开展相关工作。</w:t>
      </w:r>
    </w:p>
    <w:p w14:paraId="1DBA24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本项目共1个包件，采购成都市中西医结合医院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内部控制风险评估与评价</w:t>
      </w:r>
      <w:r>
        <w:rPr>
          <w:rFonts w:hint="eastAsia" w:hAnsi="仿宋_GB2312"/>
          <w:sz w:val="32"/>
          <w:szCs w:val="32"/>
          <w:shd w:val="clear" w:color="auto" w:fill="FFFFFF"/>
        </w:rPr>
        <w:t>服务采购项目，预算金额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4.79</w:t>
      </w:r>
      <w:r>
        <w:rPr>
          <w:rFonts w:hint="eastAsia" w:hAnsi="仿宋_GB2312"/>
          <w:sz w:val="32"/>
          <w:szCs w:val="32"/>
          <w:shd w:val="clear" w:color="auto" w:fill="FFFFFF"/>
        </w:rPr>
        <w:t>万元/年，一采两年。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147"/>
        <w:gridCol w:w="1680"/>
        <w:gridCol w:w="2539"/>
      </w:tblGrid>
      <w:tr w14:paraId="50A2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2" w:type="dxa"/>
            <w:noWrap w:val="0"/>
            <w:vAlign w:val="center"/>
          </w:tcPr>
          <w:p w14:paraId="0972446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项目号</w:t>
            </w:r>
          </w:p>
        </w:tc>
        <w:tc>
          <w:tcPr>
            <w:tcW w:w="3147" w:type="dxa"/>
            <w:noWrap w:val="0"/>
            <w:vAlign w:val="center"/>
          </w:tcPr>
          <w:p w14:paraId="5BFCC7C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80" w:type="dxa"/>
            <w:noWrap w:val="0"/>
            <w:vAlign w:val="center"/>
          </w:tcPr>
          <w:p w14:paraId="71A6A8B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（项）</w:t>
            </w:r>
          </w:p>
        </w:tc>
        <w:tc>
          <w:tcPr>
            <w:tcW w:w="2539" w:type="dxa"/>
            <w:noWrap w:val="0"/>
            <w:vAlign w:val="center"/>
          </w:tcPr>
          <w:p w14:paraId="7E327E2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预算金额</w:t>
            </w:r>
          </w:p>
          <w:p w14:paraId="14A4D4E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sz w:val="28"/>
                <w:szCs w:val="28"/>
                <w:shd w:val="clear" w:color="auto" w:fill="FFFFFF"/>
              </w:rPr>
              <w:t>（万元/年）</w:t>
            </w:r>
          </w:p>
        </w:tc>
      </w:tr>
      <w:tr w14:paraId="38C3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82" w:type="dxa"/>
            <w:noWrap w:val="0"/>
            <w:vAlign w:val="center"/>
          </w:tcPr>
          <w:p w14:paraId="05C1452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147" w:type="dxa"/>
            <w:noWrap w:val="0"/>
            <w:vAlign w:val="center"/>
          </w:tcPr>
          <w:p w14:paraId="1DF8EA9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shd w:val="clear" w:color="auto" w:fill="FFFFFF"/>
              </w:rPr>
              <w:t>内部控制风险评估与评价</w:t>
            </w:r>
            <w:r>
              <w:rPr>
                <w:rFonts w:hint="eastAsia" w:hAnsi="仿宋_GB2312"/>
                <w:sz w:val="32"/>
                <w:szCs w:val="32"/>
                <w:shd w:val="clear" w:color="auto" w:fill="FFFFFF"/>
              </w:rPr>
              <w:t>服务</w:t>
            </w:r>
          </w:p>
        </w:tc>
        <w:tc>
          <w:tcPr>
            <w:tcW w:w="1680" w:type="dxa"/>
            <w:noWrap w:val="0"/>
            <w:vAlign w:val="center"/>
          </w:tcPr>
          <w:p w14:paraId="696AAAE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6C792C47">
            <w:pPr>
              <w:jc w:val="center"/>
              <w:rPr>
                <w:rFonts w:hint="default" w:ascii="Times New Roman" w:eastAsia="仿宋_GB2312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sz w:val="28"/>
                <w:szCs w:val="28"/>
                <w:shd w:val="clear" w:color="auto" w:fill="FFFFFF"/>
                <w:lang w:val="en-US" w:eastAsia="zh-CN"/>
              </w:rPr>
              <w:t>4.79</w:t>
            </w:r>
          </w:p>
        </w:tc>
      </w:tr>
    </w:tbl>
    <w:p w14:paraId="69C543F4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b/>
          <w:sz w:val="32"/>
          <w:szCs w:val="32"/>
          <w:shd w:val="clear" w:color="auto" w:fill="FFFFFF"/>
          <w:lang w:val="en-US" w:eastAsia="zh-CN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二、项目清单</w:t>
      </w:r>
    </w:p>
    <w:p w14:paraId="2ECBA5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每年出具当年内部控制风险评估报告及</w:t>
      </w:r>
      <w:r>
        <w:rPr>
          <w:rFonts w:hint="eastAsia" w:hAnsi="仿宋_GB2312"/>
          <w:sz w:val="32"/>
          <w:szCs w:val="32"/>
          <w:shd w:val="clear" w:color="auto" w:fill="FFFFFF"/>
        </w:rPr>
        <w:t>内部控制评价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报告。</w:t>
      </w:r>
    </w:p>
    <w:p w14:paraId="405A98C0">
      <w:pPr>
        <w:pStyle w:val="2"/>
        <w:spacing w:before="0" w:after="0" w:line="240" w:lineRule="auto"/>
        <w:jc w:val="both"/>
        <w:rPr>
          <w:rFonts w:hint="eastAsia"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三、技术服务要求</w:t>
      </w:r>
    </w:p>
    <w:p w14:paraId="2C082BC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hAnsi="仿宋_GB2312"/>
          <w:b/>
          <w:bCs/>
          <w:sz w:val="32"/>
          <w:szCs w:val="32"/>
          <w:shd w:val="clear" w:color="auto" w:fill="FFFFFF"/>
        </w:rPr>
      </w:pPr>
      <w:r>
        <w:rPr>
          <w:rFonts w:hint="eastAsia" w:hAnsi="仿宋_GB2312"/>
          <w:b/>
          <w:bCs/>
          <w:sz w:val="32"/>
          <w:szCs w:val="32"/>
          <w:shd w:val="clear" w:color="auto" w:fill="FFFFFF"/>
        </w:rPr>
        <w:t>（一）服务要求</w:t>
      </w:r>
    </w:p>
    <w:p w14:paraId="04E9624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.内部控制风险评估：根据相关文件要求，结合医院实际情况，全面、系统和客观地识别、分析医院经济活动及相关业务活动存在的风险，确定相应的风险承受度及风险应对策略，发表独立鉴证意见并出具风险评估报告，协助医院完善内控体系建设。</w:t>
      </w:r>
    </w:p>
    <w:p w14:paraId="5B4E00D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2.内部控制评价：根据相关文件要求，对医院内部控制建立和实施的有效性进行评价，查找内部控制体系在设计和运行过程中存在的管理漏洞和薄弱环节，发表独立鉴证意见并出具评价报告，协助医院完善内控体系建设。</w:t>
      </w:r>
    </w:p>
    <w:p w14:paraId="11FC1E7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hAnsi="仿宋_GB2312"/>
          <w:b/>
          <w:bCs/>
          <w:sz w:val="32"/>
          <w:szCs w:val="32"/>
          <w:shd w:val="clear" w:color="auto" w:fill="FFFFFF"/>
        </w:rPr>
      </w:pPr>
    </w:p>
    <w:p w14:paraId="7F21FD1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hAnsi="仿宋_GB2312"/>
          <w:b/>
          <w:bCs/>
          <w:sz w:val="32"/>
          <w:szCs w:val="32"/>
          <w:shd w:val="clear" w:color="auto" w:fill="FFFFFF"/>
        </w:rPr>
      </w:pPr>
      <w:r>
        <w:rPr>
          <w:rFonts w:hint="eastAsia" w:hAnsi="仿宋_GB2312"/>
          <w:b/>
          <w:bCs/>
          <w:sz w:val="32"/>
          <w:szCs w:val="32"/>
          <w:shd w:val="clear" w:color="auto" w:fill="FFFFFF"/>
        </w:rPr>
        <w:t>（二）技术要求</w:t>
      </w:r>
    </w:p>
    <w:p w14:paraId="3CF7F7B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★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1.投标人提供的</w:t>
      </w:r>
      <w:r>
        <w:rPr>
          <w:rFonts w:hint="eastAsia" w:ascii="Times New Roman" w:hAnsi="Times New Roman" w:cs="Times New Roman"/>
          <w:sz w:val="32"/>
          <w:szCs w:val="32"/>
          <w:highlight w:val="none"/>
          <w:shd w:val="clear" w:color="auto" w:fill="FFFFFF"/>
        </w:rPr>
        <w:t>内部控制风险评估与评价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服务需满足下列要求：</w:t>
      </w:r>
    </w:p>
    <w:p w14:paraId="1D4AFA2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（1）法规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依据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：严格遵守（但不限于）下列文件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：《行政事业单位内部控制规范（试行）》（财会〔2012〕21号）；</w:t>
      </w:r>
    </w:p>
    <w:p w14:paraId="69A05F4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《公立医院内部控制管理办法》（国卫财务发〔2020〕31号）；</w:t>
      </w:r>
    </w:p>
    <w:p w14:paraId="7945BEC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《关于进一步加强公立医院内部控制建设的指导意见》（财会〔2023〕31号）；《内部控制评价工作指引（试行）》（国卫办财务函〔2023〕416号）；《行政事业单位内部控制评价办法》（财会〔2025〕24号）；以及国家、地方、行业现行的其他相关法律法规。</w:t>
      </w:r>
    </w:p>
    <w:p w14:paraId="647C037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交付要求：投标人须按合同约定，制定详细的实施方案，组建专业团队全程参与，按时、保质完成评估与评价工作，并确保达成预设目标。</w:t>
      </w:r>
    </w:p>
    <w:p w14:paraId="78C5A5E5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hAnsi="仿宋_GB2312"/>
          <w:sz w:val="32"/>
          <w:szCs w:val="32"/>
          <w:highlight w:val="none"/>
          <w:shd w:val="clear" w:color="auto" w:fill="FFFFFF"/>
        </w:rPr>
        <w:t>真实性及合规性要求：投标人须对所执行的评估程序、所依据资料的真实性与合法性、所出具结果的完整性承担责任。若因评估程序失当或结论失实导致采购人损失，投标人须依法承担相应责任。</w:t>
      </w:r>
    </w:p>
    <w:p w14:paraId="456AE02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▲2.拥有固定的工作场所、规范和完善的业务质量控制制度、风险控制制度及健全的内部管理制度。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提供本参数承诺函</w:t>
      </w:r>
      <w:r>
        <w:rPr>
          <w:rFonts w:hint="eastAsia" w:hAnsi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、工作场所实拍图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并加盖公司公章</w:t>
      </w:r>
      <w:r>
        <w:rPr>
          <w:rFonts w:hint="eastAsia" w:hAnsi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p w14:paraId="64721FD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▲3.拟派项目团队人员应具有良好的专业素质和良好的职业道德，具有丰富的行业经验，在近三年内没有违法和违规执业行为。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提供本参数承诺函并加盖公司公章</w:t>
      </w:r>
      <w:r>
        <w:rPr>
          <w:rFonts w:hint="eastAsia" w:hAnsi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p w14:paraId="2C08B4F9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</w:p>
    <w:p w14:paraId="01A5DCE8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420" w:firstLineChars="200"/>
        <w:rPr>
          <w:rFonts w:ascii="Times New Roman" w:eastAsia="黑体" w:cs="Times New Roman"/>
          <w:sz w:val="32"/>
          <w:szCs w:val="32"/>
          <w:shd w:val="clear" w:color="auto" w:fill="FFFFFF"/>
        </w:rPr>
      </w:pPr>
      <w:r>
        <w:rPr>
          <w:rFonts w:hint="eastAsia"/>
          <w:lang w:val="en-US" w:eastAsia="zh-CN"/>
        </w:rPr>
        <w:t>★</w:t>
      </w:r>
      <w:r>
        <w:rPr>
          <w:rFonts w:hint="eastAsia" w:ascii="Times New Roman" w:eastAsia="黑体" w:cs="Times New Roman"/>
          <w:sz w:val="32"/>
          <w:szCs w:val="32"/>
          <w:shd w:val="clear" w:color="auto" w:fill="FFFFFF"/>
        </w:rPr>
        <w:t>四</w:t>
      </w:r>
      <w:r>
        <w:rPr>
          <w:rFonts w:ascii="Times New Roman" w:eastAsia="黑体" w:cs="Times New Roman"/>
          <w:sz w:val="32"/>
          <w:szCs w:val="32"/>
          <w:shd w:val="clear" w:color="auto" w:fill="FFFFFF"/>
        </w:rPr>
        <w:t>、商务要求</w:t>
      </w:r>
    </w:p>
    <w:p w14:paraId="32F2502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1.服务期限：合同签订之日起两年。</w:t>
      </w:r>
    </w:p>
    <w:p w14:paraId="34265EA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2.付款方式：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供应商完成年度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内部控制风险评估与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内部控制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</w:rPr>
        <w:t>评价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并出具报告，</w:t>
      </w:r>
      <w:r>
        <w:rPr>
          <w:rFonts w:hint="eastAsia" w:hAnsi="仿宋_GB2312"/>
          <w:sz w:val="32"/>
          <w:szCs w:val="32"/>
          <w:shd w:val="clear" w:color="auto" w:fill="FFFFFF"/>
        </w:rPr>
        <w:t>验收合格后，采购人收到供应商正式发票后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10个工作日内</w:t>
      </w:r>
      <w:r>
        <w:rPr>
          <w:rFonts w:hint="eastAsia" w:hAnsi="仿宋_GB2312"/>
          <w:sz w:val="32"/>
          <w:szCs w:val="32"/>
          <w:shd w:val="clear" w:color="auto" w:fill="FFFFFF"/>
        </w:rPr>
        <w:t>支付。</w:t>
      </w:r>
    </w:p>
    <w:p w14:paraId="7996DBF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3.服务地点：成都市中西医结合医院。</w:t>
      </w:r>
    </w:p>
    <w:p w14:paraId="3E3454C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sz w:val="32"/>
          <w:szCs w:val="32"/>
          <w:shd w:val="clear" w:color="auto" w:fill="FFFFFF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4.验收要求：按照相关法律法规的要求进行履约验收。</w:t>
      </w:r>
    </w:p>
    <w:p w14:paraId="4105BFA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hAnsi="仿宋_GB2312"/>
          <w:sz w:val="32"/>
          <w:szCs w:val="32"/>
          <w:shd w:val="clear" w:color="auto" w:fill="FFFFFF"/>
          <w:lang w:val="en-US"/>
        </w:rPr>
      </w:pPr>
      <w:r>
        <w:rPr>
          <w:rFonts w:hint="eastAsia" w:hAnsi="仿宋_GB2312"/>
          <w:sz w:val="32"/>
          <w:szCs w:val="32"/>
          <w:shd w:val="clear" w:color="auto" w:fill="FFFFFF"/>
        </w:rPr>
        <w:t>5.报价要求：</w:t>
      </w:r>
      <w:r>
        <w:rPr>
          <w:rFonts w:hint="eastAsia" w:hAnsi="仿宋_GB2312"/>
          <w:sz w:val="32"/>
          <w:szCs w:val="32"/>
          <w:shd w:val="clear" w:color="auto" w:fill="FFFFFF"/>
          <w:lang w:val="en-US" w:eastAsia="zh-CN"/>
        </w:rPr>
        <w:t>按年度报价，不得高于采购人年度预算金额。</w:t>
      </w:r>
    </w:p>
    <w:p w14:paraId="789C3F8B">
      <w:pPr>
        <w:pStyle w:val="6"/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b w:val="0"/>
          <w:bCs/>
          <w:sz w:val="32"/>
          <w:szCs w:val="32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cs="Times New Roman"/>
          <w:b w:val="0"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b w:val="0"/>
          <w:bCs/>
          <w:sz w:val="32"/>
          <w:szCs w:val="32"/>
          <w:shd w:val="clear" w:color="auto" w:fill="FFFFFF"/>
        </w:rPr>
        <w:t>标注“</w:t>
      </w:r>
      <w:r>
        <w:rPr>
          <w:rFonts w:hint="eastAsia" w:ascii="Times New Roman" w:hAnsi="Arial" w:eastAsia="黑体" w:cs="Times New Roman"/>
          <w:b w:val="0"/>
          <w:bCs/>
          <w:kern w:val="0"/>
          <w:sz w:val="32"/>
          <w:szCs w:val="32"/>
          <w:shd w:val="clear" w:color="auto" w:fill="FFFFFF"/>
          <w:lang w:val="en-US" w:eastAsia="zh-CN" w:bidi="ar-SA"/>
        </w:rPr>
        <w:t>▲</w:t>
      </w:r>
      <w:r>
        <w:rPr>
          <w:rFonts w:hint="eastAsia" w:ascii="Times New Roman" w:cs="Times New Roman"/>
          <w:b w:val="0"/>
          <w:bCs/>
          <w:sz w:val="32"/>
          <w:szCs w:val="32"/>
          <w:shd w:val="clear" w:color="auto" w:fill="FFFFFF"/>
        </w:rPr>
        <w:t>”的条款为</w:t>
      </w:r>
      <w:r>
        <w:rPr>
          <w:rFonts w:hint="eastAsia" w:ascii="Times New Roman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重要性参数。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1B8C23B6"/>
    <w:rsid w:val="34043DD6"/>
    <w:rsid w:val="45110459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659</Characters>
  <Lines>0</Lines>
  <Paragraphs>0</Paragraphs>
  <TotalTime>0</TotalTime>
  <ScaleCrop>false</ScaleCrop>
  <LinksUpToDate>false</LinksUpToDate>
  <CharactersWithSpaces>659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余雪彬</cp:lastModifiedBy>
  <dcterms:modified xsi:type="dcterms:W3CDTF">2026-06-05T01:32:13Z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4028AC1DA5DA4FB9B6A0A8EC7C1DC9EB_13</vt:lpwstr>
  </property>
  <property fmtid="{D5CDD505-2E9C-101B-9397-08002B2CF9AE}" pid="4" name="KSOTemplateDocerSaveRecord">
    <vt:lpwstr>eyJoZGlkIjoiMTQzOTgyN2VkM2ZmMDhiNmJkNjI4Mzk3NzliNWVkZjMiLCJ1c2VySWQiOiIxNjc4NTI4MzI5In0=</vt:lpwstr>
  </property>
</Properties>
</file>