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726E3">
      <w:pPr>
        <w:pStyle w:val="2"/>
        <w:spacing w:before="0" w:after="0" w:line="240" w:lineRule="auto"/>
        <w:jc w:val="left"/>
        <w:rPr>
          <w:rFonts w:hint="eastAsia" w:ascii="宋体" w:hAnsi="宋体" w:eastAsia="宋体" w:cs="宋体"/>
          <w:b w:val="0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</w:p>
    <w:p w14:paraId="6AD23F94">
      <w:pPr>
        <w:pStyle w:val="2"/>
        <w:spacing w:before="0" w:after="0" w:line="240" w:lineRule="auto"/>
        <w:rPr>
          <w:rFonts w:hint="eastAsia" w:ascii="宋体" w:hAnsi="宋体" w:eastAsia="宋体" w:cs="宋体"/>
          <w:b w:val="0"/>
          <w:bCs/>
          <w:color w:val="000000" w:themeColor="text1"/>
          <w:sz w:val="48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48"/>
          <w:szCs w:val="40"/>
          <w14:textFill>
            <w14:solidFill>
              <w14:schemeClr w14:val="tx1"/>
            </w14:solidFill>
          </w14:textFill>
        </w:rPr>
        <w:t>项目采购需求</w:t>
      </w:r>
    </w:p>
    <w:p w14:paraId="6D2C6549">
      <w:pPr>
        <w:shd w:val="clear" w:color="auto" w:fill="FFFFFF"/>
        <w:tabs>
          <w:tab w:val="left" w:pos="720"/>
          <w:tab w:val="left" w:pos="900"/>
        </w:tabs>
        <w:snapToGrid w:val="0"/>
        <w:spacing w:line="560" w:lineRule="exact"/>
        <w:ind w:firstLine="640" w:firstLineChars="200"/>
        <w:rPr>
          <w:rFonts w:hint="eastAsia" w:ascii="Times New Roman" w:eastAsia="黑体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ascii="Times New Roman" w:eastAsia="黑体" w:cs="Times New Roman"/>
          <w:color w:val="auto"/>
          <w:sz w:val="32"/>
          <w:szCs w:val="32"/>
          <w:highlight w:val="none"/>
          <w:shd w:val="clear" w:color="auto" w:fill="FFFFFF"/>
        </w:rPr>
        <w:t>一、比选项目</w:t>
      </w:r>
      <w:r>
        <w:rPr>
          <w:rFonts w:hint="eastAsia" w:ascii="Times New Roman" w:eastAsia="黑体" w:cs="Times New Roman"/>
          <w:color w:val="auto"/>
          <w:sz w:val="32"/>
          <w:szCs w:val="32"/>
          <w:highlight w:val="none"/>
          <w:shd w:val="clear" w:color="auto" w:fill="FFFFFF"/>
        </w:rPr>
        <w:t>内容</w:t>
      </w:r>
    </w:p>
    <w:p w14:paraId="4592D080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hAnsi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hAnsi="仿宋_GB2312"/>
          <w:color w:val="auto"/>
          <w:sz w:val="32"/>
          <w:szCs w:val="32"/>
          <w:highlight w:val="none"/>
          <w:shd w:val="clear" w:color="auto" w:fill="FFFFFF"/>
        </w:rPr>
        <w:t>本项目共</w:t>
      </w:r>
      <w:r>
        <w:rPr>
          <w:rFonts w:hint="eastAsia" w:hAnsi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hAnsi="仿宋_GB2312"/>
          <w:color w:val="auto"/>
          <w:sz w:val="32"/>
          <w:szCs w:val="32"/>
          <w:highlight w:val="none"/>
          <w:shd w:val="clear" w:color="auto" w:fill="FFFFFF"/>
        </w:rPr>
        <w:t>个</w:t>
      </w:r>
      <w:r>
        <w:rPr>
          <w:rFonts w:hint="eastAsia" w:hAnsi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包件</w:t>
      </w:r>
      <w:r>
        <w:rPr>
          <w:rFonts w:hint="eastAsia" w:hAnsi="仿宋_GB2312"/>
          <w:color w:val="auto"/>
          <w:sz w:val="32"/>
          <w:szCs w:val="32"/>
          <w:highlight w:val="none"/>
          <w:shd w:val="clear" w:color="auto" w:fill="FFFFFF"/>
        </w:rPr>
        <w:t>，采购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成都市中西医结合医院北区雷电防护装置维修服务采购项目</w:t>
      </w:r>
      <w:r>
        <w:rPr>
          <w:rFonts w:hint="eastAsia" w:hAnsi="仿宋_GB2312"/>
          <w:color w:val="auto"/>
          <w:sz w:val="32"/>
          <w:szCs w:val="32"/>
          <w:highlight w:val="none"/>
          <w:shd w:val="clear" w:color="auto" w:fill="FFFFFF"/>
        </w:rPr>
        <w:t>，总预算金额</w:t>
      </w:r>
      <w:r>
        <w:rPr>
          <w:rFonts w:hint="eastAsia" w:hAnsi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2.36万元</w:t>
      </w:r>
      <w:r>
        <w:rPr>
          <w:rFonts w:hint="eastAsia" w:hAnsi="仿宋_GB2312"/>
          <w:color w:val="auto"/>
          <w:sz w:val="32"/>
          <w:szCs w:val="32"/>
          <w:highlight w:val="none"/>
          <w:shd w:val="clear" w:color="auto" w:fill="FFFFFF"/>
        </w:rPr>
        <w:t>。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3756"/>
        <w:gridCol w:w="1050"/>
        <w:gridCol w:w="1035"/>
        <w:gridCol w:w="1935"/>
      </w:tblGrid>
      <w:tr w14:paraId="690F8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162" w:type="dxa"/>
            <w:noWrap w:val="0"/>
            <w:vAlign w:val="center"/>
          </w:tcPr>
          <w:p w14:paraId="4117605B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highlight w:val="none"/>
                <w:shd w:val="clear" w:color="auto" w:fill="FFFFFF"/>
              </w:rPr>
              <w:t>序号</w:t>
            </w:r>
          </w:p>
        </w:tc>
        <w:tc>
          <w:tcPr>
            <w:tcW w:w="3756" w:type="dxa"/>
            <w:noWrap w:val="0"/>
            <w:vAlign w:val="center"/>
          </w:tcPr>
          <w:p w14:paraId="003FEFCB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highlight w:val="none"/>
                <w:shd w:val="clear" w:color="auto" w:fill="FFFFFF"/>
              </w:rPr>
              <w:t>采购内容</w:t>
            </w:r>
          </w:p>
        </w:tc>
        <w:tc>
          <w:tcPr>
            <w:tcW w:w="1050" w:type="dxa"/>
            <w:noWrap w:val="0"/>
            <w:vAlign w:val="center"/>
          </w:tcPr>
          <w:p w14:paraId="4748C620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highlight w:val="none"/>
                <w:shd w:val="clear" w:color="auto" w:fill="FFFFFF"/>
              </w:rPr>
              <w:t>数量</w:t>
            </w:r>
          </w:p>
        </w:tc>
        <w:tc>
          <w:tcPr>
            <w:tcW w:w="1035" w:type="dxa"/>
            <w:noWrap w:val="0"/>
            <w:vAlign w:val="center"/>
          </w:tcPr>
          <w:p w14:paraId="7A6C5076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highlight w:val="none"/>
                <w:shd w:val="clear" w:color="auto" w:fill="FFFFFF"/>
              </w:rPr>
              <w:t>单位</w:t>
            </w:r>
          </w:p>
        </w:tc>
        <w:tc>
          <w:tcPr>
            <w:tcW w:w="1935" w:type="dxa"/>
            <w:noWrap w:val="0"/>
            <w:vAlign w:val="center"/>
          </w:tcPr>
          <w:p w14:paraId="01388FEF">
            <w:pPr>
              <w:shd w:val="clear" w:color="auto" w:fill="FFFFFF"/>
              <w:tabs>
                <w:tab w:val="left" w:pos="720"/>
              </w:tabs>
              <w:snapToGrid w:val="0"/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highlight w:val="none"/>
                <w:shd w:val="clear" w:color="auto" w:fill="FFFFFF"/>
              </w:rPr>
              <w:t>预算金额</w:t>
            </w:r>
          </w:p>
        </w:tc>
      </w:tr>
      <w:tr w14:paraId="3124B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162" w:type="dxa"/>
            <w:noWrap w:val="0"/>
            <w:vAlign w:val="center"/>
          </w:tcPr>
          <w:p w14:paraId="4A7B65BE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hAnsi="仿宋_GB2312" w:cs="仿宋_GB2312"/>
                <w:b/>
                <w:bCs w:val="0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3756" w:type="dxa"/>
            <w:noWrap w:val="0"/>
            <w:vAlign w:val="center"/>
          </w:tcPr>
          <w:p w14:paraId="468A57EA">
            <w:pPr>
              <w:spacing w:line="400" w:lineRule="exact"/>
              <w:jc w:val="center"/>
              <w:rPr>
                <w:rFonts w:hint="eastAsia" w:hAnsi="仿宋_GB2312" w:cs="仿宋_GB2312"/>
                <w:b/>
                <w:bCs w:val="0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hAnsi="仿宋_GB2312" w:cs="仿宋_GB2312"/>
                <w:b/>
                <w:bCs w:val="0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北区雷电防护装置维修服务</w:t>
            </w:r>
          </w:p>
        </w:tc>
        <w:tc>
          <w:tcPr>
            <w:tcW w:w="1050" w:type="dxa"/>
            <w:noWrap w:val="0"/>
            <w:vAlign w:val="center"/>
          </w:tcPr>
          <w:p w14:paraId="00422A5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hAnsi="仿宋_GB2312" w:cs="仿宋_GB2312"/>
                <w:b/>
                <w:bCs w:val="0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1</w:t>
            </w:r>
            <w:bookmarkStart w:id="0" w:name="_GoBack"/>
            <w:bookmarkEnd w:id="0"/>
          </w:p>
        </w:tc>
        <w:tc>
          <w:tcPr>
            <w:tcW w:w="1035" w:type="dxa"/>
            <w:noWrap w:val="0"/>
            <w:vAlign w:val="center"/>
          </w:tcPr>
          <w:p w14:paraId="7C5282D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hAnsi="仿宋_GB2312" w:cs="仿宋_GB2312"/>
                <w:b/>
                <w:bCs w:val="0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项</w:t>
            </w:r>
          </w:p>
        </w:tc>
        <w:tc>
          <w:tcPr>
            <w:tcW w:w="1935" w:type="dxa"/>
            <w:noWrap w:val="0"/>
            <w:vAlign w:val="center"/>
          </w:tcPr>
          <w:p w14:paraId="3F76671A">
            <w:pPr>
              <w:spacing w:line="400" w:lineRule="exact"/>
              <w:jc w:val="center"/>
              <w:rPr>
                <w:rFonts w:hint="default" w:hAnsi="仿宋_GB2312" w:cs="仿宋_GB2312"/>
                <w:b/>
                <w:bCs w:val="0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hAnsi="仿宋_GB2312" w:cs="仿宋_GB2312"/>
                <w:b/>
                <w:bCs w:val="0"/>
                <w:color w:val="auto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2.36</w:t>
            </w:r>
          </w:p>
        </w:tc>
      </w:tr>
    </w:tbl>
    <w:p w14:paraId="376B9E47">
      <w:pPr>
        <w:numPr>
          <w:ilvl w:val="0"/>
          <w:numId w:val="0"/>
        </w:numPr>
        <w:shd w:val="clear" w:color="auto" w:fill="FFFFFF"/>
        <w:tabs>
          <w:tab w:val="left" w:pos="720"/>
          <w:tab w:val="left" w:pos="900"/>
        </w:tabs>
        <w:snapToGrid w:val="0"/>
        <w:spacing w:line="560" w:lineRule="exact"/>
        <w:ind w:firstLine="643" w:firstLineChars="200"/>
        <w:rPr>
          <w:rFonts w:ascii="Times New Roman" w:hAnsi="Times New Roman" w:eastAsia="黑体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shd w:val="clear" w:color="auto" w:fill="FFFFFF"/>
        </w:rPr>
        <w:t>★</w:t>
      </w: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二、</w:t>
      </w:r>
      <w:r>
        <w:rPr>
          <w:rFonts w:ascii="Times New Roman" w:hAnsi="Times New Roman" w:eastAsia="黑体" w:cs="Times New Roman"/>
          <w:color w:val="auto"/>
          <w:sz w:val="32"/>
          <w:szCs w:val="32"/>
          <w:highlight w:val="none"/>
          <w:shd w:val="clear" w:color="auto" w:fill="FFFFFF"/>
        </w:rPr>
        <w:t>技术要求</w:t>
      </w:r>
    </w:p>
    <w:p w14:paraId="4A146BF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、项目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维修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1B8CD73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1）六号电梯配电箱等四块电涌保护器损坏，需维修更换（40KA 4套）；</w:t>
      </w:r>
    </w:p>
    <w:p w14:paraId="3BEF78B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2）监控室静电地板支架以及消防报警联动装置应增设安全PE接地线（4处）；</w:t>
      </w:r>
    </w:p>
    <w:p w14:paraId="40322AD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3）门诊住院大楼需更换损坏的电涌保护器，儿童康复中心配电箱增设电涌保护器（60KA 1套，40KA 9套）；</w:t>
      </w:r>
    </w:p>
    <w:p w14:paraId="048A541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4）行政楼无外部防直击雷接闪装置，须增设（明设避雷带φ12，220m；简易阳角针φ14，9根）；</w:t>
      </w:r>
    </w:p>
    <w:p w14:paraId="541BD3C5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5）消防水泵房喷淋泵/消火栓泵设备重复接地（4处）；</w:t>
      </w:r>
    </w:p>
    <w:p w14:paraId="13FC4C6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维修要求：</w:t>
      </w:r>
    </w:p>
    <w:p w14:paraId="3FB94004">
      <w:pPr>
        <w:pStyle w:val="26"/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安装完毕后，统一进行防雷安全接地自测检查，验收需邀请第三方权威检测机构（成都市防雷中心）进行防雷验收检测且检测合格。</w:t>
      </w:r>
    </w:p>
    <w:p w14:paraId="2E1DEF0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hAnsi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雷电防护装置维修项目</w:t>
      </w:r>
      <w:r>
        <w:rPr>
          <w:rFonts w:hint="eastAsia" w:hAnsi="仿宋_GB2312" w:cs="仿宋_GB2312"/>
          <w:sz w:val="32"/>
          <w:szCs w:val="32"/>
          <w:lang w:val="en-US" w:eastAsia="zh-CN"/>
        </w:rPr>
        <w:t>维修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清单：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2900"/>
        <w:gridCol w:w="1787"/>
        <w:gridCol w:w="1244"/>
        <w:gridCol w:w="1066"/>
      </w:tblGrid>
      <w:tr w14:paraId="2E80C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vAlign w:val="center"/>
          </w:tcPr>
          <w:p w14:paraId="68A4E1C5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2900" w:type="dxa"/>
            <w:vAlign w:val="center"/>
          </w:tcPr>
          <w:p w14:paraId="516F793B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787" w:type="dxa"/>
            <w:vAlign w:val="center"/>
          </w:tcPr>
          <w:p w14:paraId="4BF20525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244" w:type="dxa"/>
            <w:vAlign w:val="center"/>
          </w:tcPr>
          <w:p w14:paraId="1D07E764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单位</w:t>
            </w:r>
          </w:p>
        </w:tc>
        <w:tc>
          <w:tcPr>
            <w:tcW w:w="1066" w:type="dxa"/>
            <w:vAlign w:val="center"/>
          </w:tcPr>
          <w:p w14:paraId="3B74FE5F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数量</w:t>
            </w:r>
          </w:p>
        </w:tc>
      </w:tr>
      <w:tr w14:paraId="12DF8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6580197E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4C9EB443">
            <w:pPr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三相电源浪涌保护器（专利防雷器产品）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5BED733E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60KA 385A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1433B1E8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7211FCF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</w:tr>
      <w:tr w14:paraId="59BFB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6761B7CC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56B191D8">
            <w:pPr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三相电源浪涌保护器（专利防雷器产品）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18290B7A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40KA 385A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6176DC70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6B6AADC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13</w:t>
            </w:r>
          </w:p>
        </w:tc>
      </w:tr>
      <w:tr w14:paraId="2F067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13D68A23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4FF19EA0">
            <w:pPr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明设避雷带（含支撑架）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72BFCCAA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Φ12mm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42E7CE5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米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F36DF50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220</w:t>
            </w:r>
          </w:p>
        </w:tc>
      </w:tr>
      <w:tr w14:paraId="4D30A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6AB2D737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4D617497">
            <w:pPr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简易阳角针 H=0.6m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388AE64D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Φ14mm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65DF50E7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D3E5F2D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</w:tr>
      <w:tr w14:paraId="2EF14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38BB7474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692B5B1D">
            <w:pPr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等电位水平连接带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708BEF55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40×4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B2EE150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米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7BDE45BD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24</w:t>
            </w:r>
          </w:p>
        </w:tc>
      </w:tr>
      <w:tr w14:paraId="3F118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78B69D19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35F071BE">
            <w:pPr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BVR（红/黄/绿/蓝）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3D9D9B21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Φ6mm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6C3C0C93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米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16F0CC4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50</w:t>
            </w:r>
          </w:p>
        </w:tc>
      </w:tr>
      <w:tr w14:paraId="7C096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3C694CDE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48A826BD">
            <w:pPr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BVR(双色PE)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16A43634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Φ10mm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49DE88F2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米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F30EEBE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</w:tr>
      <w:tr w14:paraId="5F8A0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0DA0D98E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1EC6AE4D">
            <w:pPr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其它辅材（铜鼻口、铺设导轨、空气开关、焊条防、锈漆等）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2119DF9B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-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6B8FA076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-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5C9FEBB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-</w:t>
            </w:r>
          </w:p>
        </w:tc>
      </w:tr>
      <w:tr w14:paraId="5B504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9" w:type="dxa"/>
            <w:shd w:val="clear" w:color="auto" w:fill="auto"/>
            <w:vAlign w:val="center"/>
          </w:tcPr>
          <w:p w14:paraId="0686EDB3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2900" w:type="dxa"/>
            <w:shd w:val="clear" w:color="auto" w:fill="auto"/>
            <w:vAlign w:val="center"/>
          </w:tcPr>
          <w:p w14:paraId="7B40A698">
            <w:pPr>
              <w:jc w:val="both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检测验收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35F2A321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-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0891F8D8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-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92E4D10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-</w:t>
            </w:r>
          </w:p>
        </w:tc>
      </w:tr>
    </w:tbl>
    <w:p w14:paraId="75F6A890">
      <w:pPr>
        <w:shd w:val="clear" w:color="auto" w:fill="FFFFFF"/>
        <w:tabs>
          <w:tab w:val="left" w:pos="720"/>
          <w:tab w:val="left" w:pos="900"/>
        </w:tabs>
        <w:snapToGrid w:val="0"/>
        <w:spacing w:line="560" w:lineRule="exact"/>
        <w:ind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shd w:val="clear" w:color="auto" w:fill="FFFFFF"/>
        </w:rPr>
        <w:t>★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shd w:val="clear" w:color="auto" w:fill="FFFFFF"/>
        </w:rPr>
        <w:t>三、商务要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求</w:t>
      </w:r>
    </w:p>
    <w:p w14:paraId="08EE2CA2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default" w:asci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</w:rPr>
        <w:t>（一）履约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要求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</w:rPr>
        <w:t>：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合同签订后30日完成雷电防护装置维修，质保1年。</w:t>
      </w:r>
    </w:p>
    <w:p w14:paraId="10B54EF6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</w:rPr>
        <w:t>（二）报价：报价超过采购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限价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</w:rPr>
        <w:t>，其比选申请文件按无效处理。</w:t>
      </w:r>
    </w:p>
    <w:p w14:paraId="00291669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</w:rPr>
        <w:t>（三）付款方式：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验收合格后，采购人收到中标供应商合法票据及相关付款资料，达到付款条件10个工作日内，支付合同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</w:rPr>
        <w:t>总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金额100%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</w:rPr>
        <w:t>。</w:t>
      </w:r>
    </w:p>
    <w:p w14:paraId="314B7B1C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default" w:ascii="Times New Roman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</w:rPr>
        <w:t>（四）服务地点：成都市中西医结合医院。</w:t>
      </w:r>
    </w:p>
    <w:p w14:paraId="4D33F304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</w:rPr>
        <w:t>（五）验收要求：</w:t>
      </w:r>
      <w:r>
        <w:rPr>
          <w:rFonts w:ascii="Times New Roman" w:cs="Times New Roman"/>
          <w:color w:val="auto"/>
          <w:sz w:val="32"/>
          <w:szCs w:val="32"/>
          <w:highlight w:val="none"/>
          <w:shd w:val="clear" w:color="auto" w:fill="FFFFFF"/>
        </w:rPr>
        <w:t>参照《财政部关于进一步加强政府采购需求和履约验收管理的指导意见》（财库〔20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16</w:t>
      </w:r>
      <w:r>
        <w:rPr>
          <w:rFonts w:ascii="Times New Roman" w:cs="Times New Roman"/>
          <w:color w:val="auto"/>
          <w:sz w:val="32"/>
          <w:szCs w:val="32"/>
          <w:highlight w:val="none"/>
          <w:shd w:val="clear" w:color="auto" w:fill="FFFFFF"/>
        </w:rPr>
        <w:t>〕205号）《政府采购需求管理办法》（财库〔2021〕22号）等相关法律法规的要求进行履约验收</w:t>
      </w:r>
      <w:r>
        <w:rPr>
          <w:rFonts w:hint="eastAsia" w:ascii="Times New Roman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50F5333B">
      <w:pPr>
        <w:pStyle w:val="7"/>
        <w:ind w:firstLine="640" w:firstLineChars="200"/>
        <w:rPr>
          <w:rFonts w:hint="eastAsia" w:ascii="Times New Roman" w:hAnsi="Times New Roman" w:eastAsia="宋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shd w:val="clear" w:color="auto" w:fill="FFFFFF"/>
        </w:rPr>
        <w:t>注：本章中标注“★”的条款为实质性要求，未响应或不满足，按无效响应处理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swiss"/>
    <w:pitch w:val="default"/>
    <w:sig w:usb0="00000000" w:usb1="00000000" w:usb2="00000010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EB1DB">
    <w:pPr>
      <w:pStyle w:val="9"/>
      <w:jc w:val="center"/>
      <w:rPr>
        <w:rFonts w:ascii="Times New Roman"/>
        <w:sz w:val="21"/>
        <w:szCs w:val="21"/>
      </w:rPr>
    </w:pPr>
    <w:r>
      <w:rPr>
        <w:rFonts w:ascii="Times New Roman"/>
        <w:sz w:val="21"/>
        <w:szCs w:val="21"/>
      </w:rPr>
      <w:fldChar w:fldCharType="begin"/>
    </w:r>
    <w:r>
      <w:rPr>
        <w:rFonts w:ascii="Times New Roman"/>
        <w:sz w:val="21"/>
        <w:szCs w:val="21"/>
      </w:rPr>
      <w:instrText xml:space="preserve">PAGE   \* MERGEFORMAT</w:instrText>
    </w:r>
    <w:r>
      <w:rPr>
        <w:rFonts w:ascii="Times New Roman"/>
        <w:sz w:val="21"/>
        <w:szCs w:val="21"/>
      </w:rPr>
      <w:fldChar w:fldCharType="separate"/>
    </w:r>
    <w:r>
      <w:rPr>
        <w:rFonts w:ascii="Times New Roman"/>
        <w:sz w:val="21"/>
        <w:szCs w:val="21"/>
        <w:lang w:val="zh-CN"/>
      </w:rPr>
      <w:t>5</w:t>
    </w:r>
    <w:r>
      <w:rPr>
        <w:rFonts w:ascii="Times New Roman"/>
        <w:sz w:val="21"/>
        <w:szCs w:val="21"/>
      </w:rPr>
      <w:fldChar w:fldCharType="end"/>
    </w:r>
  </w:p>
  <w:p w14:paraId="1F87FFC4">
    <w:pPr>
      <w:pStyle w:val="9"/>
      <w:rPr>
        <w:rFonts w:ascii="Times New Roman"/>
        <w:sz w:val="21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hYTQwZDAyMjJjMzZmN2ExNjE3YzljY2Q2YmVkMGIifQ=="/>
  </w:docVars>
  <w:rsids>
    <w:rsidRoot w:val="13683CA5"/>
    <w:rsid w:val="00102930"/>
    <w:rsid w:val="004947E1"/>
    <w:rsid w:val="006E4CF1"/>
    <w:rsid w:val="00700D1A"/>
    <w:rsid w:val="009D5628"/>
    <w:rsid w:val="00FC6FA1"/>
    <w:rsid w:val="01390213"/>
    <w:rsid w:val="05442DBE"/>
    <w:rsid w:val="060C5FAE"/>
    <w:rsid w:val="082E6266"/>
    <w:rsid w:val="08D15B8E"/>
    <w:rsid w:val="08D1651A"/>
    <w:rsid w:val="094933C2"/>
    <w:rsid w:val="0A084DB9"/>
    <w:rsid w:val="0AB14F91"/>
    <w:rsid w:val="0AC6631E"/>
    <w:rsid w:val="0BF53974"/>
    <w:rsid w:val="0D966565"/>
    <w:rsid w:val="0F837E14"/>
    <w:rsid w:val="109C4CD3"/>
    <w:rsid w:val="11196324"/>
    <w:rsid w:val="13683CA5"/>
    <w:rsid w:val="15AD43D5"/>
    <w:rsid w:val="17AC2592"/>
    <w:rsid w:val="1AED20B4"/>
    <w:rsid w:val="1C772A8F"/>
    <w:rsid w:val="1DC011C6"/>
    <w:rsid w:val="200801CE"/>
    <w:rsid w:val="208C4489"/>
    <w:rsid w:val="24054E77"/>
    <w:rsid w:val="26096777"/>
    <w:rsid w:val="269428FC"/>
    <w:rsid w:val="28375E51"/>
    <w:rsid w:val="2B206215"/>
    <w:rsid w:val="2B935195"/>
    <w:rsid w:val="31B5313F"/>
    <w:rsid w:val="374757D4"/>
    <w:rsid w:val="39AC56D7"/>
    <w:rsid w:val="3AD7091B"/>
    <w:rsid w:val="3B6E6C5A"/>
    <w:rsid w:val="3C0A5C4E"/>
    <w:rsid w:val="41C30365"/>
    <w:rsid w:val="46A915FC"/>
    <w:rsid w:val="490242F8"/>
    <w:rsid w:val="49D34E89"/>
    <w:rsid w:val="4ACD0A41"/>
    <w:rsid w:val="4C42245F"/>
    <w:rsid w:val="4D086AFA"/>
    <w:rsid w:val="538348AB"/>
    <w:rsid w:val="53FB15E8"/>
    <w:rsid w:val="55480368"/>
    <w:rsid w:val="580A0164"/>
    <w:rsid w:val="592A4A08"/>
    <w:rsid w:val="5949427D"/>
    <w:rsid w:val="59886781"/>
    <w:rsid w:val="59E529BF"/>
    <w:rsid w:val="59E65F7B"/>
    <w:rsid w:val="5ACA16F2"/>
    <w:rsid w:val="5C163756"/>
    <w:rsid w:val="5F562C81"/>
    <w:rsid w:val="5F563847"/>
    <w:rsid w:val="633017F6"/>
    <w:rsid w:val="63421633"/>
    <w:rsid w:val="643F21A0"/>
    <w:rsid w:val="64567774"/>
    <w:rsid w:val="67D23EBD"/>
    <w:rsid w:val="692D5565"/>
    <w:rsid w:val="695F1CD9"/>
    <w:rsid w:val="6A1D21C2"/>
    <w:rsid w:val="6A7D41E4"/>
    <w:rsid w:val="6C172E9A"/>
    <w:rsid w:val="6F69270C"/>
    <w:rsid w:val="712644D7"/>
    <w:rsid w:val="71E72E8F"/>
    <w:rsid w:val="786A0DAB"/>
    <w:rsid w:val="79CC5EEB"/>
    <w:rsid w:val="7AEB2254"/>
    <w:rsid w:val="7B7F64D7"/>
    <w:rsid w:val="7C12132F"/>
    <w:rsid w:val="7E35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仿宋_GB2312"/>
      <w:kern w:val="2"/>
      <w:sz w:val="36"/>
      <w:szCs w:val="36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hAnsi="仿宋_GB2312"/>
      <w:b/>
      <w:kern w:val="44"/>
      <w:sz w:val="4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4"/>
    <w:next w:val="1"/>
    <w:qFormat/>
    <w:uiPriority w:val="0"/>
    <w:rPr>
      <w:rFonts w:ascii="Calibri"/>
      <w:sz w:val="21"/>
      <w:szCs w:val="24"/>
    </w:rPr>
  </w:style>
  <w:style w:type="paragraph" w:styleId="4">
    <w:name w:val="Body Text First Indent 2"/>
    <w:basedOn w:val="5"/>
    <w:unhideWhenUsed/>
    <w:qFormat/>
    <w:uiPriority w:val="99"/>
    <w:pPr>
      <w:ind w:firstLine="420" w:firstLineChars="200"/>
    </w:pPr>
  </w:style>
  <w:style w:type="paragraph" w:styleId="5">
    <w:name w:val="Body Text Indent"/>
    <w:basedOn w:val="1"/>
    <w:next w:val="3"/>
    <w:qFormat/>
    <w:uiPriority w:val="0"/>
    <w:pPr>
      <w:ind w:firstLine="630"/>
    </w:pPr>
    <w:rPr>
      <w:sz w:val="32"/>
    </w:rPr>
  </w:style>
  <w:style w:type="paragraph" w:styleId="6">
    <w:name w:val="Body Text 3"/>
    <w:basedOn w:val="1"/>
    <w:qFormat/>
    <w:uiPriority w:val="99"/>
    <w:pPr>
      <w:spacing w:line="500" w:lineRule="exact"/>
    </w:pPr>
    <w:rPr>
      <w:b/>
      <w:bCs/>
      <w:sz w:val="24"/>
      <w:szCs w:val="24"/>
    </w:rPr>
  </w:style>
  <w:style w:type="paragraph" w:styleId="7">
    <w:name w:val="Body Text"/>
    <w:basedOn w:val="1"/>
    <w:next w:val="1"/>
    <w:link w:val="17"/>
    <w:qFormat/>
    <w:uiPriority w:val="0"/>
    <w:pPr>
      <w:spacing w:after="120"/>
    </w:pPr>
    <w:rPr>
      <w:rFonts w:ascii="等线" w:hAnsi="等线" w:eastAsia="Times New Roman" w:cs="Times New Roman"/>
      <w:sz w:val="21"/>
      <w:szCs w:val="24"/>
    </w:rPr>
  </w:style>
  <w:style w:type="paragraph" w:styleId="8">
    <w:name w:val="Plain Text"/>
    <w:basedOn w:val="1"/>
    <w:next w:val="1"/>
    <w:qFormat/>
    <w:uiPriority w:val="0"/>
    <w:rPr>
      <w:rFonts w:ascii="宋体" w:hAnsi="Courier New" w:eastAsia="Times New Roman" w:cs="Times New Roman"/>
      <w:sz w:val="21"/>
      <w:szCs w:val="20"/>
    </w:rPr>
  </w:style>
  <w:style w:type="paragraph" w:styleId="9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next w:val="7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"/>
    <w:basedOn w:val="7"/>
    <w:next w:val="8"/>
    <w:qFormat/>
    <w:uiPriority w:val="0"/>
    <w:pPr>
      <w:ind w:firstLine="420" w:firstLineChars="1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页眉 Char"/>
    <w:basedOn w:val="14"/>
    <w:link w:val="10"/>
    <w:qFormat/>
    <w:uiPriority w:val="0"/>
    <w:rPr>
      <w:rFonts w:ascii="仿宋_GB2312" w:hAnsi="Times New Roman" w:eastAsia="仿宋_GB2312" w:cs="仿宋_GB2312"/>
      <w:kern w:val="2"/>
      <w:sz w:val="18"/>
      <w:szCs w:val="18"/>
    </w:rPr>
  </w:style>
  <w:style w:type="character" w:customStyle="1" w:styleId="16">
    <w:name w:val="页脚 Char"/>
    <w:basedOn w:val="14"/>
    <w:link w:val="9"/>
    <w:qFormat/>
    <w:uiPriority w:val="99"/>
    <w:rPr>
      <w:rFonts w:ascii="仿宋_GB2312" w:hAnsi="Times New Roman" w:eastAsia="仿宋_GB2312" w:cs="仿宋_GB2312"/>
      <w:kern w:val="2"/>
      <w:sz w:val="18"/>
      <w:szCs w:val="18"/>
    </w:rPr>
  </w:style>
  <w:style w:type="character" w:customStyle="1" w:styleId="17">
    <w:name w:val="正文文本 Char"/>
    <w:link w:val="7"/>
    <w:qFormat/>
    <w:uiPriority w:val="0"/>
    <w:rPr>
      <w:rFonts w:ascii="等线" w:hAnsi="等线" w:eastAsia="Times New Roman" w:cs="Times New Roman"/>
      <w:kern w:val="2"/>
      <w:sz w:val="21"/>
      <w:szCs w:val="24"/>
    </w:rPr>
  </w:style>
  <w:style w:type="paragraph" w:customStyle="1" w:styleId="18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19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20">
    <w:name w:val="列出段落11"/>
    <w:basedOn w:val="1"/>
    <w:qFormat/>
    <w:uiPriority w:val="34"/>
    <w:pPr>
      <w:widowControl w:val="0"/>
      <w:spacing w:line="240" w:lineRule="auto"/>
      <w:ind w:firstLine="420" w:firstLineChars="200"/>
    </w:pPr>
    <w:rPr>
      <w:rFonts w:eastAsia="宋体"/>
      <w:snapToGrid/>
      <w:sz w:val="21"/>
      <w:szCs w:val="24"/>
    </w:rPr>
  </w:style>
  <w:style w:type="paragraph" w:customStyle="1" w:styleId="21">
    <w:name w:val="Other|1"/>
    <w:basedOn w:val="1"/>
    <w:qFormat/>
    <w:uiPriority w:val="0"/>
    <w:pPr>
      <w:widowControl w:val="0"/>
      <w:shd w:val="clear" w:color="auto" w:fill="auto"/>
      <w:spacing w:after="140" w:line="290" w:lineRule="auto"/>
    </w:pPr>
    <w:rPr>
      <w:rFonts w:ascii="宋体" w:hAnsi="宋体" w:eastAsia="宋体" w:cs="宋体"/>
      <w:color w:val="25282E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MS Mincho" w:hAnsi="Calibri" w:eastAsia="MS Mincho" w:cs="Times New Roman"/>
      <w:color w:val="000000"/>
      <w:sz w:val="24"/>
      <w:szCs w:val="24"/>
      <w:lang w:val="en-US" w:eastAsia="zh-CN" w:bidi="ar-SA"/>
    </w:rPr>
  </w:style>
  <w:style w:type="character" w:customStyle="1" w:styleId="23">
    <w:name w:val="font11"/>
    <w:basedOn w:val="14"/>
    <w:qFormat/>
    <w:uiPriority w:val="0"/>
    <w:rPr>
      <w:rFonts w:hint="eastAsia" w:ascii="仿宋" w:hAnsi="仿宋" w:eastAsia="仿宋" w:cs="仿宋"/>
      <w:b/>
      <w:bCs/>
      <w:color w:val="000000"/>
      <w:sz w:val="40"/>
      <w:szCs w:val="40"/>
      <w:u w:val="none"/>
    </w:rPr>
  </w:style>
  <w:style w:type="character" w:customStyle="1" w:styleId="24">
    <w:name w:val="font0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5">
    <w:name w:val="font6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26">
    <w:name w:val="List Paragraph"/>
    <w:basedOn w:val="1"/>
    <w:qFormat/>
    <w:uiPriority w:val="99"/>
    <w:pPr>
      <w:ind w:firstLine="420" w:firstLineChars="200"/>
    </w:pPr>
    <w:rPr>
      <w:rFonts w:ascii="等线" w:hAnsi="等线" w:eastAsia="等线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1628</Words>
  <Characters>2004</Characters>
  <Lines>18</Lines>
  <Paragraphs>5</Paragraphs>
  <TotalTime>0</TotalTime>
  <ScaleCrop>false</ScaleCrop>
  <LinksUpToDate>false</LinksUpToDate>
  <CharactersWithSpaces>2030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2023-11-06T10:11:00Z</dcterms:created>
  <dc:creator>G~R</dc:creator>
  <cp:lastModifiedBy>WL</cp:lastModifiedBy>
  <dcterms:modified xsi:type="dcterms:W3CDTF">2026-07-13T08:42:15Z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10CC5B7249F845C0ADC3E4783AF7AABF_13</vt:lpwstr>
  </property>
  <property fmtid="{D5CDD505-2E9C-101B-9397-08002B2CF9AE}" pid="4" name="KSOTemplateDocerSaveRecord">
    <vt:lpwstr>eyJoZGlkIjoiOTZhYTQwZDAyMjJjMzZmN2ExNjE3YzljY2Q2YmVkMGIiLCJ1c2VySWQiOiI1ODU1NTA5NDIifQ==</vt:lpwstr>
  </property>
</Properties>
</file>