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7592C44">
      <w:pPr>
        <w:keepNext/>
        <w:keepLines/>
        <w:pageBreakBefore w:val="0"/>
        <w:widowControl w:val="0"/>
        <w:numPr>
          <w:ilvl w:val="0"/>
          <w:numId w:val="0"/>
        </w:numPr>
        <w:kinsoku/>
        <w:wordWrap/>
        <w:overflowPunct/>
        <w:topLinePunct w:val="0"/>
        <w:autoSpaceDE/>
        <w:autoSpaceDN/>
        <w:bidi w:val="0"/>
        <w:adjustRightInd w:val="0"/>
        <w:snapToGrid w:val="0"/>
        <w:spacing w:beforeLines="0" w:beforeAutospacing="0" w:afterLines="0" w:afterAutospacing="0" w:line="240" w:lineRule="auto"/>
        <w:jc w:val="both"/>
        <w:textAlignment w:val="auto"/>
        <w:outlineLvl w:val="0"/>
        <w:rPr>
          <w:rFonts w:hint="default" w:ascii="Times New Roman" w:hAnsi="Times New Roman" w:eastAsia="方正小标宋_GBK" w:cs="Times New Roman"/>
          <w:b w:val="0"/>
          <w:bCs/>
          <w:kern w:val="44"/>
          <w:sz w:val="30"/>
          <w:szCs w:val="30"/>
          <w:highlight w:val="none"/>
          <w:lang w:val="en-US" w:eastAsia="zh-CN" w:bidi="ar-SA"/>
        </w:rPr>
      </w:pPr>
      <w:r>
        <w:rPr>
          <w:rFonts w:hint="default" w:ascii="Times New Roman" w:hAnsi="Times New Roman" w:eastAsia="方正小标宋_GBK" w:cs="Times New Roman"/>
          <w:b w:val="0"/>
          <w:bCs/>
          <w:kern w:val="44"/>
          <w:sz w:val="30"/>
          <w:szCs w:val="30"/>
          <w:highlight w:val="none"/>
          <w:lang w:val="en-US" w:eastAsia="zh-CN" w:bidi="ar-SA"/>
        </w:rPr>
        <w:t>附件</w:t>
      </w:r>
    </w:p>
    <w:p w14:paraId="6499679A">
      <w:pPr>
        <w:keepNext/>
        <w:keepLines/>
        <w:widowControl w:val="0"/>
        <w:numPr>
          <w:ilvl w:val="0"/>
          <w:numId w:val="0"/>
        </w:numPr>
        <w:bidi w:val="0"/>
        <w:spacing w:before="340" w:beforeLines="0" w:beforeAutospacing="0" w:after="330" w:afterLines="0" w:afterAutospacing="0" w:line="576" w:lineRule="auto"/>
        <w:jc w:val="center"/>
        <w:outlineLvl w:val="0"/>
        <w:rPr>
          <w:rFonts w:hint="default" w:ascii="方正小标宋_GBK" w:hAnsi="方正小标宋_GBK" w:eastAsia="方正小标宋_GBK" w:cs="方正小标宋_GBK"/>
          <w:b w:val="0"/>
          <w:bCs/>
          <w:kern w:val="44"/>
          <w:sz w:val="44"/>
          <w:szCs w:val="36"/>
          <w:highlight w:val="none"/>
          <w:lang w:val="en-US" w:eastAsia="zh-CN" w:bidi="ar-SA"/>
        </w:rPr>
      </w:pPr>
      <w:bookmarkStart w:id="0" w:name="_Toc481"/>
      <w:r>
        <w:rPr>
          <w:rFonts w:hint="eastAsia" w:ascii="方正小标宋_GBK" w:hAnsi="方正小标宋_GBK" w:eastAsia="方正小标宋_GBK" w:cs="方正小标宋_GBK"/>
          <w:b w:val="0"/>
          <w:bCs/>
          <w:kern w:val="44"/>
          <w:sz w:val="44"/>
          <w:szCs w:val="36"/>
          <w:highlight w:val="none"/>
          <w:lang w:val="en-US" w:eastAsia="zh-CN" w:bidi="ar-SA"/>
        </w:rPr>
        <w:t>项目</w:t>
      </w:r>
      <w:bookmarkEnd w:id="0"/>
      <w:r>
        <w:rPr>
          <w:rFonts w:hint="eastAsia" w:ascii="方正小标宋_GBK" w:hAnsi="方正小标宋_GBK" w:eastAsia="方正小标宋_GBK" w:cs="方正小标宋_GBK"/>
          <w:b w:val="0"/>
          <w:bCs/>
          <w:kern w:val="44"/>
          <w:sz w:val="44"/>
          <w:szCs w:val="36"/>
          <w:highlight w:val="none"/>
          <w:lang w:val="en-US" w:eastAsia="zh-CN" w:bidi="ar-SA"/>
        </w:rPr>
        <w:t>采购需求</w:t>
      </w:r>
    </w:p>
    <w:p w14:paraId="2548C882">
      <w:pPr>
        <w:shd w:val="clear" w:color="auto" w:fill="FFFFFF"/>
        <w:tabs>
          <w:tab w:val="left" w:pos="720"/>
          <w:tab w:val="left" w:pos="900"/>
        </w:tabs>
        <w:snapToGrid w:val="0"/>
        <w:spacing w:line="560" w:lineRule="exact"/>
        <w:ind w:firstLine="640" w:firstLineChars="200"/>
        <w:rPr>
          <w:rFonts w:hint="eastAsia" w:ascii="Times New Roman" w:hAnsi="Times New Roman" w:eastAsia="黑体" w:cs="Times New Roman"/>
          <w:color w:val="auto"/>
          <w:sz w:val="32"/>
          <w:szCs w:val="32"/>
          <w:highlight w:val="none"/>
          <w:shd w:val="clear" w:color="auto" w:fill="FFFFFF"/>
        </w:rPr>
      </w:pPr>
      <w:bookmarkStart w:id="1" w:name="_GoBack"/>
      <w:bookmarkEnd w:id="1"/>
      <w:r>
        <w:rPr>
          <w:rFonts w:ascii="Times New Roman" w:hAnsi="Times New Roman" w:eastAsia="黑体" w:cs="Times New Roman"/>
          <w:color w:val="auto"/>
          <w:sz w:val="32"/>
          <w:szCs w:val="32"/>
          <w:highlight w:val="none"/>
          <w:shd w:val="clear" w:color="auto" w:fill="FFFFFF"/>
        </w:rPr>
        <w:t>一、比选项目</w:t>
      </w:r>
      <w:r>
        <w:rPr>
          <w:rFonts w:hint="eastAsia" w:ascii="Times New Roman" w:hAnsi="Times New Roman" w:eastAsia="黑体" w:cs="Times New Roman"/>
          <w:color w:val="auto"/>
          <w:sz w:val="32"/>
          <w:szCs w:val="32"/>
          <w:highlight w:val="none"/>
          <w:shd w:val="clear" w:color="auto" w:fill="FFFFFF"/>
        </w:rPr>
        <w:t>内容</w:t>
      </w:r>
    </w:p>
    <w:p w14:paraId="748E8C38">
      <w:pPr>
        <w:shd w:val="clear" w:color="auto" w:fill="FFFFFF"/>
        <w:tabs>
          <w:tab w:val="left" w:pos="720"/>
          <w:tab w:val="left" w:pos="900"/>
        </w:tabs>
        <w:adjustRightInd w:val="0"/>
        <w:snapToGrid w:val="0"/>
        <w:spacing w:line="560" w:lineRule="exact"/>
        <w:ind w:firstLine="640" w:firstLineChars="200"/>
        <w:rPr>
          <w:rFonts w:hint="eastAsia" w:ascii="仿宋_GB2312" w:hAnsi="仿宋_GB2312" w:eastAsia="仿宋_GB2312" w:cs="仿宋_GB2312"/>
          <w:color w:val="auto"/>
          <w:sz w:val="32"/>
          <w:szCs w:val="32"/>
          <w:highlight w:val="none"/>
          <w:shd w:val="clear" w:color="auto" w:fill="FFFFFF"/>
        </w:rPr>
      </w:pPr>
      <w:r>
        <w:rPr>
          <w:rFonts w:hint="eastAsia" w:ascii="仿宋_GB2312" w:hAnsi="仿宋_GB2312" w:eastAsia="仿宋_GB2312" w:cs="仿宋_GB2312"/>
          <w:color w:val="auto"/>
          <w:sz w:val="32"/>
          <w:szCs w:val="32"/>
          <w:highlight w:val="none"/>
          <w:shd w:val="clear" w:color="auto" w:fill="FFFFFF"/>
        </w:rPr>
        <w:t>本项目共1个包件，</w:t>
      </w:r>
      <w:r>
        <w:rPr>
          <w:rFonts w:hint="eastAsia" w:ascii="Times New Roman" w:hAnsi="Times New Roman" w:eastAsia="仿宋_GB2312" w:cs="Times New Roman"/>
          <w:color w:val="auto"/>
          <w:sz w:val="32"/>
          <w:szCs w:val="32"/>
          <w:highlight w:val="none"/>
          <w:shd w:val="clear" w:color="auto" w:fill="FFFFFF"/>
          <w:lang w:eastAsia="zh-CN"/>
        </w:rPr>
        <w:t>采购中医药洗护套装</w:t>
      </w:r>
      <w:r>
        <w:rPr>
          <w:rFonts w:hint="eastAsia" w:ascii="Times New Roman" w:hAnsi="Times New Roman" w:eastAsia="仿宋_GB2312" w:cs="Times New Roman"/>
          <w:color w:val="auto"/>
          <w:sz w:val="32"/>
          <w:szCs w:val="32"/>
          <w:highlight w:val="none"/>
          <w:shd w:val="clear" w:color="auto" w:fill="FFFFFF"/>
        </w:rPr>
        <w:t>项目</w:t>
      </w:r>
      <w:r>
        <w:rPr>
          <w:rFonts w:hint="eastAsia" w:ascii="仿宋_GB2312" w:hAnsi="仿宋_GB2312" w:eastAsia="仿宋_GB2312" w:cs="仿宋_GB2312"/>
          <w:color w:val="auto"/>
          <w:sz w:val="32"/>
          <w:szCs w:val="32"/>
          <w:highlight w:val="none"/>
          <w:shd w:val="clear" w:color="auto" w:fill="FFFFFF"/>
        </w:rPr>
        <w:t>，总预算金额</w:t>
      </w:r>
      <w:r>
        <w:rPr>
          <w:rFonts w:hint="eastAsia" w:ascii="仿宋_GB2312" w:hAnsi="仿宋_GB2312" w:eastAsia="仿宋_GB2312" w:cs="仿宋_GB2312"/>
          <w:color w:val="auto"/>
          <w:sz w:val="32"/>
          <w:szCs w:val="32"/>
          <w:highlight w:val="none"/>
          <w:shd w:val="clear" w:color="auto" w:fill="FFFFFF"/>
          <w:lang w:val="en-US" w:eastAsia="zh-CN"/>
        </w:rPr>
        <w:t>4.9</w:t>
      </w:r>
      <w:r>
        <w:rPr>
          <w:rFonts w:hint="eastAsia" w:ascii="仿宋_GB2312" w:hAnsi="仿宋_GB2312" w:eastAsia="仿宋_GB2312" w:cs="仿宋_GB2312"/>
          <w:color w:val="auto"/>
          <w:sz w:val="32"/>
          <w:szCs w:val="32"/>
          <w:highlight w:val="none"/>
          <w:shd w:val="clear" w:color="auto" w:fill="FFFFFF"/>
        </w:rPr>
        <w:t>万元。</w:t>
      </w:r>
    </w:p>
    <w:tbl>
      <w:tblPr>
        <w:tblStyle w:val="4"/>
        <w:tblW w:w="95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75"/>
        <w:gridCol w:w="3983"/>
        <w:gridCol w:w="1957"/>
        <w:gridCol w:w="2461"/>
      </w:tblGrid>
      <w:tr w14:paraId="25A570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9" w:hRule="atLeast"/>
          <w:jc w:val="center"/>
        </w:trPr>
        <w:tc>
          <w:tcPr>
            <w:tcW w:w="1175" w:type="dxa"/>
            <w:noWrap w:val="0"/>
            <w:vAlign w:val="center"/>
          </w:tcPr>
          <w:p w14:paraId="7BB454F8">
            <w:pPr>
              <w:shd w:val="clear" w:color="auto" w:fill="FFFFFF"/>
              <w:tabs>
                <w:tab w:val="left" w:pos="720"/>
              </w:tabs>
              <w:snapToGrid w:val="0"/>
              <w:spacing w:line="400" w:lineRule="exact"/>
              <w:jc w:val="center"/>
              <w:rPr>
                <w:rFonts w:hint="eastAsia" w:ascii="Times New Roman" w:hAnsi="Times New Roman" w:eastAsia="仿宋_GB2312" w:cs="Times New Roman"/>
                <w:b/>
                <w:color w:val="auto"/>
                <w:sz w:val="28"/>
                <w:szCs w:val="28"/>
                <w:highlight w:val="none"/>
                <w:shd w:val="clear" w:color="auto" w:fill="FFFFFF"/>
              </w:rPr>
            </w:pPr>
            <w:r>
              <w:rPr>
                <w:rFonts w:hint="eastAsia" w:ascii="Times New Roman" w:hAnsi="Times New Roman" w:eastAsia="仿宋_GB2312" w:cs="Times New Roman"/>
                <w:b/>
                <w:color w:val="auto"/>
                <w:sz w:val="28"/>
                <w:szCs w:val="28"/>
                <w:highlight w:val="none"/>
                <w:shd w:val="clear" w:color="auto" w:fill="FFFFFF"/>
              </w:rPr>
              <w:t>序号</w:t>
            </w:r>
          </w:p>
        </w:tc>
        <w:tc>
          <w:tcPr>
            <w:tcW w:w="3983" w:type="dxa"/>
            <w:noWrap w:val="0"/>
            <w:vAlign w:val="center"/>
          </w:tcPr>
          <w:p w14:paraId="07DFD140">
            <w:pPr>
              <w:shd w:val="clear" w:color="auto" w:fill="FFFFFF"/>
              <w:tabs>
                <w:tab w:val="left" w:pos="720"/>
              </w:tabs>
              <w:snapToGrid w:val="0"/>
              <w:spacing w:line="400" w:lineRule="exact"/>
              <w:jc w:val="center"/>
              <w:rPr>
                <w:rFonts w:ascii="Times New Roman" w:hAnsi="Times New Roman" w:eastAsia="仿宋_GB2312" w:cs="Times New Roman"/>
                <w:b/>
                <w:color w:val="auto"/>
                <w:sz w:val="28"/>
                <w:szCs w:val="28"/>
                <w:highlight w:val="none"/>
                <w:shd w:val="clear" w:color="auto" w:fill="FFFFFF"/>
              </w:rPr>
            </w:pPr>
            <w:r>
              <w:rPr>
                <w:rFonts w:hint="eastAsia" w:ascii="Times New Roman" w:hAnsi="Times New Roman" w:eastAsia="仿宋_GB2312" w:cs="Times New Roman"/>
                <w:b/>
                <w:color w:val="auto"/>
                <w:sz w:val="28"/>
                <w:szCs w:val="28"/>
                <w:highlight w:val="none"/>
                <w:shd w:val="clear" w:color="auto" w:fill="FFFFFF"/>
              </w:rPr>
              <w:t>标的</w:t>
            </w:r>
            <w:r>
              <w:rPr>
                <w:rFonts w:ascii="Times New Roman" w:hAnsi="Times New Roman" w:eastAsia="仿宋_GB2312" w:cs="Times New Roman"/>
                <w:b/>
                <w:color w:val="auto"/>
                <w:sz w:val="28"/>
                <w:szCs w:val="28"/>
                <w:highlight w:val="none"/>
                <w:shd w:val="clear" w:color="auto" w:fill="FFFFFF"/>
              </w:rPr>
              <w:t>名称</w:t>
            </w:r>
          </w:p>
        </w:tc>
        <w:tc>
          <w:tcPr>
            <w:tcW w:w="1957" w:type="dxa"/>
            <w:noWrap w:val="0"/>
            <w:vAlign w:val="center"/>
          </w:tcPr>
          <w:p w14:paraId="115E0F2F">
            <w:pPr>
              <w:shd w:val="clear" w:color="auto" w:fill="FFFFFF"/>
              <w:tabs>
                <w:tab w:val="left" w:pos="720"/>
              </w:tabs>
              <w:snapToGrid w:val="0"/>
              <w:spacing w:line="400" w:lineRule="exact"/>
              <w:jc w:val="center"/>
              <w:rPr>
                <w:rFonts w:ascii="Times New Roman" w:hAnsi="Times New Roman" w:eastAsia="仿宋_GB2312" w:cs="Times New Roman"/>
                <w:b/>
                <w:color w:val="auto"/>
                <w:sz w:val="28"/>
                <w:szCs w:val="28"/>
                <w:highlight w:val="none"/>
                <w:shd w:val="clear" w:color="auto" w:fill="FFFFFF"/>
              </w:rPr>
            </w:pPr>
            <w:r>
              <w:rPr>
                <w:rFonts w:ascii="Times New Roman" w:hAnsi="Times New Roman" w:eastAsia="仿宋_GB2312" w:cs="Times New Roman"/>
                <w:b/>
                <w:color w:val="auto"/>
                <w:sz w:val="28"/>
                <w:szCs w:val="28"/>
                <w:highlight w:val="none"/>
                <w:shd w:val="clear" w:color="auto" w:fill="FFFFFF"/>
              </w:rPr>
              <w:t>数量</w:t>
            </w:r>
            <w:r>
              <w:rPr>
                <w:rFonts w:hint="eastAsia" w:ascii="Times New Roman" w:hAnsi="Times New Roman" w:eastAsia="仿宋_GB2312" w:cs="Times New Roman"/>
                <w:b/>
                <w:color w:val="auto"/>
                <w:sz w:val="28"/>
                <w:szCs w:val="28"/>
                <w:highlight w:val="none"/>
                <w:shd w:val="clear" w:color="auto" w:fill="FFFFFF"/>
              </w:rPr>
              <w:t>（批）</w:t>
            </w:r>
          </w:p>
        </w:tc>
        <w:tc>
          <w:tcPr>
            <w:tcW w:w="2461" w:type="dxa"/>
            <w:noWrap w:val="0"/>
            <w:vAlign w:val="center"/>
          </w:tcPr>
          <w:p w14:paraId="373670F2">
            <w:pPr>
              <w:shd w:val="clear" w:color="auto" w:fill="FFFFFF"/>
              <w:tabs>
                <w:tab w:val="left" w:pos="720"/>
              </w:tabs>
              <w:snapToGrid w:val="0"/>
              <w:spacing w:line="400" w:lineRule="exact"/>
              <w:jc w:val="center"/>
              <w:rPr>
                <w:rFonts w:ascii="Times New Roman" w:hAnsi="Times New Roman" w:eastAsia="仿宋_GB2312" w:cs="Times New Roman"/>
                <w:b/>
                <w:color w:val="auto"/>
                <w:sz w:val="28"/>
                <w:szCs w:val="28"/>
                <w:highlight w:val="none"/>
                <w:shd w:val="clear" w:color="auto" w:fill="FFFFFF"/>
              </w:rPr>
            </w:pPr>
            <w:r>
              <w:rPr>
                <w:rFonts w:hint="eastAsia" w:ascii="Times New Roman" w:hAnsi="Times New Roman" w:eastAsia="仿宋_GB2312" w:cs="Times New Roman"/>
                <w:b/>
                <w:color w:val="auto"/>
                <w:sz w:val="28"/>
                <w:szCs w:val="28"/>
                <w:highlight w:val="none"/>
                <w:shd w:val="clear" w:color="auto" w:fill="FFFFFF"/>
              </w:rPr>
              <w:t>预算金额（万元）</w:t>
            </w:r>
          </w:p>
        </w:tc>
      </w:tr>
      <w:tr w14:paraId="3B6CB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jc w:val="center"/>
        </w:trPr>
        <w:tc>
          <w:tcPr>
            <w:tcW w:w="1175" w:type="dxa"/>
            <w:noWrap w:val="0"/>
            <w:vAlign w:val="center"/>
          </w:tcPr>
          <w:p w14:paraId="2370020E">
            <w:pPr>
              <w:tabs>
                <w:tab w:val="left" w:pos="720"/>
                <w:tab w:val="left" w:pos="900"/>
              </w:tabs>
              <w:snapToGrid w:val="0"/>
              <w:spacing w:line="400" w:lineRule="exact"/>
              <w:jc w:val="center"/>
              <w:rPr>
                <w:rFonts w:ascii="Times New Roman" w:hAnsi="Times New Roman" w:eastAsia="仿宋_GB2312" w:cs="Times New Roman"/>
                <w:color w:val="auto"/>
                <w:sz w:val="28"/>
                <w:szCs w:val="28"/>
                <w:highlight w:val="none"/>
                <w:shd w:val="clear" w:color="auto" w:fill="FFFFFF"/>
              </w:rPr>
            </w:pPr>
            <w:r>
              <w:rPr>
                <w:rFonts w:ascii="Times New Roman" w:hAnsi="Times New Roman" w:eastAsia="仿宋_GB2312" w:cs="Times New Roman"/>
                <w:color w:val="auto"/>
                <w:sz w:val="32"/>
                <w:szCs w:val="32"/>
                <w:highlight w:val="none"/>
                <w:shd w:val="clear" w:color="auto" w:fill="FFFFFF"/>
              </w:rPr>
              <w:t>1</w:t>
            </w:r>
          </w:p>
        </w:tc>
        <w:tc>
          <w:tcPr>
            <w:tcW w:w="3983" w:type="dxa"/>
            <w:noWrap w:val="0"/>
            <w:vAlign w:val="center"/>
          </w:tcPr>
          <w:p w14:paraId="3277B3E7">
            <w:pPr>
              <w:tabs>
                <w:tab w:val="left" w:pos="720"/>
                <w:tab w:val="left" w:pos="900"/>
              </w:tabs>
              <w:snapToGrid w:val="0"/>
              <w:spacing w:line="400" w:lineRule="exact"/>
              <w:jc w:val="center"/>
              <w:rPr>
                <w:rFonts w:hint="eastAsia" w:ascii="Times New Roman" w:hAnsi="Times New Roman" w:eastAsia="仿宋_GB2312" w:cs="Times New Roman"/>
                <w:color w:val="auto"/>
                <w:sz w:val="28"/>
                <w:szCs w:val="28"/>
                <w:highlight w:val="none"/>
                <w:shd w:val="clear" w:color="auto" w:fill="FFFFFF"/>
                <w:lang w:eastAsia="zh-CN"/>
              </w:rPr>
            </w:pPr>
            <w:r>
              <w:rPr>
                <w:rFonts w:hint="eastAsia" w:ascii="Times New Roman" w:hAnsi="Times New Roman" w:eastAsia="仿宋_GB2312" w:cs="Times New Roman"/>
                <w:color w:val="auto"/>
                <w:sz w:val="32"/>
                <w:szCs w:val="32"/>
                <w:highlight w:val="none"/>
                <w:shd w:val="clear" w:color="auto" w:fill="FFFFFF"/>
                <w:lang w:eastAsia="zh-CN"/>
              </w:rPr>
              <w:t>中医药洗护套装</w:t>
            </w:r>
          </w:p>
        </w:tc>
        <w:tc>
          <w:tcPr>
            <w:tcW w:w="1957" w:type="dxa"/>
            <w:noWrap w:val="0"/>
            <w:vAlign w:val="center"/>
          </w:tcPr>
          <w:p w14:paraId="1A1DF795">
            <w:pPr>
              <w:spacing w:line="400" w:lineRule="exact"/>
              <w:jc w:val="center"/>
              <w:rPr>
                <w:rFonts w:ascii="仿宋_GB2312" w:hAnsi="Times New Roman" w:eastAsia="仿宋_GB2312" w:cs="仿宋_GB2312"/>
                <w:color w:val="auto"/>
                <w:sz w:val="36"/>
                <w:szCs w:val="36"/>
                <w:highlight w:val="none"/>
              </w:rPr>
            </w:pPr>
            <w:r>
              <w:rPr>
                <w:rFonts w:hint="eastAsia" w:ascii="Times New Roman" w:hAnsi="Times New Roman" w:eastAsia="仿宋_GB2312" w:cs="Times New Roman"/>
                <w:color w:val="auto"/>
                <w:sz w:val="28"/>
                <w:szCs w:val="28"/>
                <w:highlight w:val="none"/>
                <w:shd w:val="clear" w:color="auto" w:fill="FFFFFF"/>
              </w:rPr>
              <w:t>1</w:t>
            </w:r>
          </w:p>
        </w:tc>
        <w:tc>
          <w:tcPr>
            <w:tcW w:w="2461" w:type="dxa"/>
            <w:noWrap w:val="0"/>
            <w:vAlign w:val="center"/>
          </w:tcPr>
          <w:p w14:paraId="7A02B4AC">
            <w:pPr>
              <w:spacing w:line="400" w:lineRule="exact"/>
              <w:jc w:val="center"/>
              <w:rPr>
                <w:rFonts w:hint="default" w:ascii="Times New Roman" w:hAnsi="Times New Roman" w:eastAsia="仿宋_GB2312" w:cs="Times New Roman"/>
                <w:color w:val="auto"/>
                <w:sz w:val="28"/>
                <w:szCs w:val="28"/>
                <w:highlight w:val="none"/>
                <w:shd w:val="clear" w:color="auto" w:fill="FFFFFF"/>
                <w:lang w:val="en-US" w:eastAsia="zh-CN"/>
              </w:rPr>
            </w:pPr>
            <w:r>
              <w:rPr>
                <w:rFonts w:hint="eastAsia" w:ascii="Times New Roman" w:hAnsi="Times New Roman" w:eastAsia="仿宋_GB2312" w:cs="Times New Roman"/>
                <w:color w:val="auto"/>
                <w:sz w:val="28"/>
                <w:szCs w:val="28"/>
                <w:highlight w:val="none"/>
                <w:shd w:val="clear" w:color="auto" w:fill="FFFFFF"/>
                <w:lang w:val="en-US" w:eastAsia="zh-CN"/>
              </w:rPr>
              <w:t>4.9</w:t>
            </w:r>
          </w:p>
        </w:tc>
      </w:tr>
    </w:tbl>
    <w:p w14:paraId="55A9D841">
      <w:pPr>
        <w:numPr>
          <w:ilvl w:val="0"/>
          <w:numId w:val="0"/>
        </w:numPr>
        <w:shd w:val="clear" w:color="auto" w:fill="FFFFFF"/>
        <w:tabs>
          <w:tab w:val="left" w:pos="720"/>
          <w:tab w:val="left" w:pos="900"/>
        </w:tabs>
        <w:snapToGrid w:val="0"/>
        <w:spacing w:line="560" w:lineRule="exact"/>
        <w:ind w:firstLine="640" w:firstLineChars="200"/>
        <w:rPr>
          <w:rFonts w:hint="eastAsia" w:ascii="Times New Roman" w:hAnsi="Times New Roman" w:eastAsia="黑体" w:cs="Times New Roman"/>
          <w:color w:val="auto"/>
          <w:kern w:val="2"/>
          <w:sz w:val="32"/>
          <w:szCs w:val="32"/>
          <w:highlight w:val="none"/>
          <w:shd w:val="clear" w:fill="FFFFFF"/>
          <w:lang w:val="en-US" w:eastAsia="zh-CN" w:bidi="ar-SA"/>
        </w:rPr>
      </w:pPr>
      <w:r>
        <w:rPr>
          <w:rFonts w:hint="eastAsia" w:ascii="Times New Roman" w:hAnsi="Times New Roman" w:eastAsia="黑体" w:cs="Times New Roman"/>
          <w:color w:val="auto"/>
          <w:kern w:val="2"/>
          <w:sz w:val="32"/>
          <w:szCs w:val="32"/>
          <w:highlight w:val="none"/>
          <w:shd w:val="clear" w:fill="FFFFFF"/>
          <w:lang w:val="en-US" w:eastAsia="zh-CN" w:bidi="ar-SA"/>
        </w:rPr>
        <w:t>★二、采购清单</w:t>
      </w:r>
    </w:p>
    <w:tbl>
      <w:tblPr>
        <w:tblStyle w:val="6"/>
        <w:tblW w:w="9199"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861"/>
        <w:gridCol w:w="2275"/>
        <w:gridCol w:w="4088"/>
        <w:gridCol w:w="975"/>
        <w:gridCol w:w="1000"/>
      </w:tblGrid>
      <w:tr w14:paraId="031FB62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063" w:hRule="atLeast"/>
          <w:jc w:val="center"/>
        </w:trPr>
        <w:tc>
          <w:tcPr>
            <w:tcW w:w="861" w:type="dxa"/>
            <w:vAlign w:val="center"/>
          </w:tcPr>
          <w:p w14:paraId="75A82F55">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序号</w:t>
            </w:r>
          </w:p>
        </w:tc>
        <w:tc>
          <w:tcPr>
            <w:tcW w:w="2275" w:type="dxa"/>
            <w:vAlign w:val="center"/>
          </w:tcPr>
          <w:p w14:paraId="490948F2">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品名</w:t>
            </w:r>
          </w:p>
        </w:tc>
        <w:tc>
          <w:tcPr>
            <w:tcW w:w="4088" w:type="dxa"/>
            <w:vAlign w:val="center"/>
          </w:tcPr>
          <w:p w14:paraId="191600BA">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规格及材质等</w:t>
            </w:r>
          </w:p>
        </w:tc>
        <w:tc>
          <w:tcPr>
            <w:tcW w:w="975" w:type="dxa"/>
            <w:vAlign w:val="center"/>
          </w:tcPr>
          <w:p w14:paraId="379722F0">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单位</w:t>
            </w:r>
          </w:p>
        </w:tc>
        <w:tc>
          <w:tcPr>
            <w:tcW w:w="1000" w:type="dxa"/>
            <w:vAlign w:val="center"/>
          </w:tcPr>
          <w:p w14:paraId="3527DDC1">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数量</w:t>
            </w:r>
          </w:p>
        </w:tc>
      </w:tr>
      <w:tr w14:paraId="5841AFC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9" w:hRule="atLeast"/>
          <w:jc w:val="center"/>
        </w:trPr>
        <w:tc>
          <w:tcPr>
            <w:tcW w:w="861" w:type="dxa"/>
            <w:vAlign w:val="center"/>
          </w:tcPr>
          <w:p w14:paraId="77CE3DEF">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1</w:t>
            </w:r>
          </w:p>
        </w:tc>
        <w:tc>
          <w:tcPr>
            <w:tcW w:w="2275" w:type="dxa"/>
            <w:vAlign w:val="center"/>
          </w:tcPr>
          <w:p w14:paraId="49542D5A">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滋润型洗发水</w:t>
            </w:r>
          </w:p>
        </w:tc>
        <w:tc>
          <w:tcPr>
            <w:tcW w:w="4088" w:type="dxa"/>
            <w:vAlign w:val="center"/>
          </w:tcPr>
          <w:p w14:paraId="6A264F70">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200ml/瓶；乳液、瓶装</w:t>
            </w:r>
          </w:p>
        </w:tc>
        <w:tc>
          <w:tcPr>
            <w:tcW w:w="975" w:type="dxa"/>
            <w:vAlign w:val="center"/>
          </w:tcPr>
          <w:p w14:paraId="352F1C0E">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瓶</w:t>
            </w:r>
          </w:p>
        </w:tc>
        <w:tc>
          <w:tcPr>
            <w:tcW w:w="1000" w:type="dxa"/>
            <w:vAlign w:val="center"/>
          </w:tcPr>
          <w:p w14:paraId="3E1181EC">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500</w:t>
            </w:r>
          </w:p>
        </w:tc>
      </w:tr>
      <w:tr w14:paraId="2490BA8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8" w:hRule="atLeast"/>
          <w:jc w:val="center"/>
        </w:trPr>
        <w:tc>
          <w:tcPr>
            <w:tcW w:w="861" w:type="dxa"/>
            <w:vAlign w:val="center"/>
          </w:tcPr>
          <w:p w14:paraId="2DDB16B9">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2</w:t>
            </w:r>
          </w:p>
        </w:tc>
        <w:tc>
          <w:tcPr>
            <w:tcW w:w="2275" w:type="dxa"/>
            <w:vAlign w:val="center"/>
          </w:tcPr>
          <w:p w14:paraId="06CF9C23">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控油型洗发水</w:t>
            </w:r>
          </w:p>
        </w:tc>
        <w:tc>
          <w:tcPr>
            <w:tcW w:w="4088" w:type="dxa"/>
            <w:vAlign w:val="center"/>
          </w:tcPr>
          <w:p w14:paraId="2345207E">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200ml/瓶；乳液、瓶装</w:t>
            </w:r>
          </w:p>
        </w:tc>
        <w:tc>
          <w:tcPr>
            <w:tcW w:w="975" w:type="dxa"/>
            <w:vAlign w:val="center"/>
          </w:tcPr>
          <w:p w14:paraId="3A6CD761">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瓶</w:t>
            </w:r>
          </w:p>
        </w:tc>
        <w:tc>
          <w:tcPr>
            <w:tcW w:w="1000" w:type="dxa"/>
            <w:vAlign w:val="center"/>
          </w:tcPr>
          <w:p w14:paraId="6524AC2E">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500</w:t>
            </w:r>
          </w:p>
        </w:tc>
      </w:tr>
      <w:tr w14:paraId="37A191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99" w:hRule="atLeast"/>
          <w:jc w:val="center"/>
        </w:trPr>
        <w:tc>
          <w:tcPr>
            <w:tcW w:w="861" w:type="dxa"/>
            <w:vAlign w:val="center"/>
          </w:tcPr>
          <w:p w14:paraId="1DC5FF4D">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3</w:t>
            </w:r>
          </w:p>
        </w:tc>
        <w:tc>
          <w:tcPr>
            <w:tcW w:w="2275" w:type="dxa"/>
            <w:vAlign w:val="center"/>
          </w:tcPr>
          <w:p w14:paraId="5F0498F1">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润唇膏</w:t>
            </w:r>
          </w:p>
        </w:tc>
        <w:tc>
          <w:tcPr>
            <w:tcW w:w="4088" w:type="dxa"/>
            <w:vAlign w:val="center"/>
          </w:tcPr>
          <w:p w14:paraId="256018D8">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5g/支；油蜡型固体膏、支</w:t>
            </w:r>
          </w:p>
        </w:tc>
        <w:tc>
          <w:tcPr>
            <w:tcW w:w="975" w:type="dxa"/>
            <w:vAlign w:val="center"/>
          </w:tcPr>
          <w:p w14:paraId="04F96190">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支</w:t>
            </w:r>
          </w:p>
        </w:tc>
        <w:tc>
          <w:tcPr>
            <w:tcW w:w="1000" w:type="dxa"/>
            <w:vAlign w:val="center"/>
          </w:tcPr>
          <w:p w14:paraId="03FA413F">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500</w:t>
            </w:r>
          </w:p>
        </w:tc>
      </w:tr>
      <w:tr w14:paraId="2F67024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9" w:hRule="atLeast"/>
          <w:jc w:val="center"/>
        </w:trPr>
        <w:tc>
          <w:tcPr>
            <w:tcW w:w="861" w:type="dxa"/>
            <w:vAlign w:val="center"/>
          </w:tcPr>
          <w:p w14:paraId="7253CDFA">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4</w:t>
            </w:r>
          </w:p>
        </w:tc>
        <w:tc>
          <w:tcPr>
            <w:tcW w:w="2275" w:type="dxa"/>
            <w:vAlign w:val="center"/>
          </w:tcPr>
          <w:p w14:paraId="1FC80C19">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祛痘面膜</w:t>
            </w:r>
          </w:p>
        </w:tc>
        <w:tc>
          <w:tcPr>
            <w:tcW w:w="4088" w:type="dxa"/>
            <w:vAlign w:val="center"/>
          </w:tcPr>
          <w:p w14:paraId="6F45F7ED">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25ml*5片/盒；贴片、盒装</w:t>
            </w:r>
          </w:p>
        </w:tc>
        <w:tc>
          <w:tcPr>
            <w:tcW w:w="975" w:type="dxa"/>
            <w:vAlign w:val="center"/>
          </w:tcPr>
          <w:p w14:paraId="21E56FE5">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盒</w:t>
            </w:r>
          </w:p>
        </w:tc>
        <w:tc>
          <w:tcPr>
            <w:tcW w:w="1000" w:type="dxa"/>
            <w:vAlign w:val="center"/>
          </w:tcPr>
          <w:p w14:paraId="68C0BABE">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565</w:t>
            </w:r>
          </w:p>
        </w:tc>
      </w:tr>
      <w:tr w14:paraId="4EA521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8" w:hRule="atLeast"/>
          <w:jc w:val="center"/>
        </w:trPr>
        <w:tc>
          <w:tcPr>
            <w:tcW w:w="861" w:type="dxa"/>
            <w:vAlign w:val="center"/>
          </w:tcPr>
          <w:p w14:paraId="7A790C74">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5</w:t>
            </w:r>
          </w:p>
        </w:tc>
        <w:tc>
          <w:tcPr>
            <w:tcW w:w="2275" w:type="dxa"/>
            <w:vAlign w:val="center"/>
          </w:tcPr>
          <w:p w14:paraId="51BD2433">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滋润型洗发水</w:t>
            </w:r>
          </w:p>
        </w:tc>
        <w:tc>
          <w:tcPr>
            <w:tcW w:w="4088" w:type="dxa"/>
            <w:vAlign w:val="center"/>
          </w:tcPr>
          <w:p w14:paraId="6C937878">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500ml/瓶；乳液、瓶装</w:t>
            </w:r>
          </w:p>
        </w:tc>
        <w:tc>
          <w:tcPr>
            <w:tcW w:w="975" w:type="dxa"/>
            <w:vAlign w:val="center"/>
          </w:tcPr>
          <w:p w14:paraId="6AEA354F">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瓶</w:t>
            </w:r>
          </w:p>
        </w:tc>
        <w:tc>
          <w:tcPr>
            <w:tcW w:w="1000" w:type="dxa"/>
            <w:vAlign w:val="center"/>
          </w:tcPr>
          <w:p w14:paraId="1C6FE822">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100</w:t>
            </w:r>
          </w:p>
        </w:tc>
      </w:tr>
      <w:tr w14:paraId="63AD1E7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3" w:hRule="atLeast"/>
          <w:jc w:val="center"/>
        </w:trPr>
        <w:tc>
          <w:tcPr>
            <w:tcW w:w="861" w:type="dxa"/>
            <w:vAlign w:val="center"/>
          </w:tcPr>
          <w:p w14:paraId="5FCDDE4B">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6</w:t>
            </w:r>
          </w:p>
        </w:tc>
        <w:tc>
          <w:tcPr>
            <w:tcW w:w="2275" w:type="dxa"/>
            <w:vAlign w:val="center"/>
          </w:tcPr>
          <w:p w14:paraId="2342D742">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控油型洗发水</w:t>
            </w:r>
          </w:p>
        </w:tc>
        <w:tc>
          <w:tcPr>
            <w:tcW w:w="4088" w:type="dxa"/>
            <w:vAlign w:val="center"/>
          </w:tcPr>
          <w:p w14:paraId="3FD75899">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500ml/瓶；乳液、瓶装</w:t>
            </w:r>
          </w:p>
        </w:tc>
        <w:tc>
          <w:tcPr>
            <w:tcW w:w="975" w:type="dxa"/>
            <w:vAlign w:val="center"/>
          </w:tcPr>
          <w:p w14:paraId="06324231">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瓶</w:t>
            </w:r>
          </w:p>
        </w:tc>
        <w:tc>
          <w:tcPr>
            <w:tcW w:w="1000" w:type="dxa"/>
            <w:vAlign w:val="center"/>
          </w:tcPr>
          <w:p w14:paraId="49758851">
            <w:pPr>
              <w:tabs>
                <w:tab w:val="left" w:pos="720"/>
                <w:tab w:val="left" w:pos="900"/>
              </w:tabs>
              <w:snapToGrid w:val="0"/>
              <w:spacing w:line="400" w:lineRule="exact"/>
              <w:jc w:val="center"/>
              <w:rPr>
                <w:rFonts w:hint="eastAsia" w:ascii="Times New Roman" w:hAnsi="Times New Roman" w:eastAsia="仿宋_GB2312" w:cs="Times New Roman"/>
                <w:color w:val="auto"/>
                <w:sz w:val="32"/>
                <w:szCs w:val="32"/>
                <w:highlight w:val="none"/>
                <w:shd w:val="clear" w:color="auto" w:fill="FFFFFF"/>
                <w:lang w:val="en-US" w:eastAsia="en-US"/>
              </w:rPr>
            </w:pPr>
            <w:r>
              <w:rPr>
                <w:rFonts w:hint="eastAsia" w:ascii="Times New Roman" w:hAnsi="Times New Roman" w:eastAsia="仿宋_GB2312" w:cs="Times New Roman"/>
                <w:color w:val="auto"/>
                <w:sz w:val="32"/>
                <w:szCs w:val="32"/>
                <w:highlight w:val="none"/>
                <w:shd w:val="clear" w:color="auto" w:fill="FFFFFF"/>
                <w:lang w:val="en-US" w:eastAsia="en-US"/>
              </w:rPr>
              <w:t>160</w:t>
            </w:r>
          </w:p>
        </w:tc>
      </w:tr>
    </w:tbl>
    <w:p w14:paraId="526A81D9">
      <w:pPr>
        <w:numPr>
          <w:ilvl w:val="0"/>
          <w:numId w:val="0"/>
        </w:numPr>
        <w:shd w:val="clear" w:color="auto" w:fill="FFFFFF"/>
        <w:tabs>
          <w:tab w:val="left" w:pos="720"/>
          <w:tab w:val="left" w:pos="900"/>
        </w:tabs>
        <w:snapToGrid w:val="0"/>
        <w:spacing w:line="560" w:lineRule="exact"/>
        <w:ind w:firstLine="640" w:firstLineChars="200"/>
        <w:rPr>
          <w:rFonts w:ascii="Times New Roman" w:hAnsi="Times New Roman" w:eastAsia="黑体" w:cs="Times New Roman"/>
          <w:color w:val="auto"/>
          <w:sz w:val="32"/>
          <w:szCs w:val="32"/>
          <w:highlight w:val="none"/>
          <w:shd w:val="clear" w:color="auto" w:fill="FFFFFF"/>
        </w:rPr>
      </w:pPr>
      <w:r>
        <w:rPr>
          <w:rFonts w:hint="eastAsia" w:ascii="Times New Roman" w:hAnsi="Times New Roman" w:eastAsia="黑体" w:cs="Times New Roman"/>
          <w:color w:val="auto"/>
          <w:kern w:val="2"/>
          <w:sz w:val="32"/>
          <w:szCs w:val="32"/>
          <w:highlight w:val="none"/>
          <w:shd w:val="clear" w:fill="FFFFFF"/>
          <w:lang w:val="en-US" w:eastAsia="zh-CN" w:bidi="ar-SA"/>
        </w:rPr>
        <w:t>三、</w:t>
      </w:r>
      <w:r>
        <w:rPr>
          <w:rFonts w:ascii="Times New Roman" w:hAnsi="Times New Roman" w:eastAsia="黑体" w:cs="Times New Roman"/>
          <w:color w:val="auto"/>
          <w:sz w:val="32"/>
          <w:szCs w:val="32"/>
          <w:highlight w:val="none"/>
          <w:shd w:val="clear" w:color="auto" w:fill="FFFFFF"/>
        </w:rPr>
        <w:t>技术要求</w:t>
      </w:r>
    </w:p>
    <w:p w14:paraId="4418EB7B">
      <w:pPr>
        <w:shd w:val="clear" w:color="auto" w:fill="FFFFFF"/>
        <w:tabs>
          <w:tab w:val="left" w:pos="720"/>
          <w:tab w:val="left" w:pos="900"/>
        </w:tabs>
        <w:adjustRightInd w:val="0"/>
        <w:snapToGrid w:val="0"/>
        <w:spacing w:line="560" w:lineRule="exact"/>
        <w:ind w:firstLine="643" w:firstLineChars="200"/>
        <w:rPr>
          <w:rFonts w:hint="eastAsia" w:ascii="Times New Roman" w:hAnsi="Times New Roman" w:eastAsia="仿宋_GB2312" w:cs="Times New Roman"/>
          <w:b/>
          <w:bCs/>
          <w:color w:val="auto"/>
          <w:sz w:val="32"/>
          <w:szCs w:val="32"/>
          <w:highlight w:val="none"/>
          <w:shd w:val="clear" w:color="auto" w:fill="FFFFFF"/>
        </w:rPr>
      </w:pPr>
      <w:r>
        <w:rPr>
          <w:rFonts w:hint="eastAsia" w:ascii="Times New Roman" w:hAnsi="Times New Roman" w:eastAsia="仿宋_GB2312" w:cs="Times New Roman"/>
          <w:b/>
          <w:bCs/>
          <w:color w:val="auto"/>
          <w:sz w:val="32"/>
          <w:szCs w:val="32"/>
          <w:highlight w:val="none"/>
          <w:shd w:val="clear" w:color="auto" w:fill="FFFFFF"/>
          <w:lang w:eastAsia="zh-CN"/>
        </w:rPr>
        <w:t>（</w:t>
      </w:r>
      <w:r>
        <w:rPr>
          <w:rFonts w:hint="eastAsia" w:ascii="Times New Roman" w:hAnsi="Times New Roman" w:eastAsia="仿宋_GB2312" w:cs="Times New Roman"/>
          <w:b/>
          <w:bCs/>
          <w:color w:val="auto"/>
          <w:sz w:val="32"/>
          <w:szCs w:val="32"/>
          <w:highlight w:val="none"/>
          <w:shd w:val="clear" w:color="auto" w:fill="FFFFFF"/>
          <w:lang w:val="en-US" w:eastAsia="zh-CN"/>
        </w:rPr>
        <w:t>一</w:t>
      </w:r>
      <w:r>
        <w:rPr>
          <w:rFonts w:hint="eastAsia" w:ascii="Times New Roman" w:hAnsi="Times New Roman" w:eastAsia="仿宋_GB2312" w:cs="Times New Roman"/>
          <w:b/>
          <w:bCs/>
          <w:color w:val="auto"/>
          <w:sz w:val="32"/>
          <w:szCs w:val="32"/>
          <w:highlight w:val="none"/>
          <w:shd w:val="clear" w:color="auto" w:fill="FFFFFF"/>
          <w:lang w:eastAsia="zh-CN"/>
        </w:rPr>
        <w:t>）</w:t>
      </w:r>
      <w:r>
        <w:rPr>
          <w:rFonts w:hint="eastAsia" w:ascii="Times New Roman" w:hAnsi="Times New Roman" w:eastAsia="仿宋_GB2312" w:cs="Times New Roman"/>
          <w:b/>
          <w:bCs/>
          <w:color w:val="auto"/>
          <w:sz w:val="32"/>
          <w:szCs w:val="32"/>
          <w:highlight w:val="none"/>
          <w:shd w:val="clear" w:color="auto" w:fill="FFFFFF"/>
        </w:rPr>
        <w:t>基本要求</w:t>
      </w:r>
    </w:p>
    <w:p w14:paraId="30D3E4FA">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★1.本项目若涉及化妆品的，产品应当符合《化妆品监督管理条例》</w:t>
      </w:r>
      <w:r>
        <w:rPr>
          <w:rFonts w:hint="eastAsia" w:ascii="Times New Roman" w:hAnsi="Times New Roman" w:eastAsia="仿宋_GB2312" w:cs="Times New Roman"/>
          <w:color w:val="auto"/>
          <w:sz w:val="32"/>
          <w:szCs w:val="32"/>
          <w:highlight w:val="none"/>
          <w:shd w:val="clear" w:color="auto" w:fill="FFFFFF"/>
          <w:lang w:eastAsia="zh-CN"/>
        </w:rPr>
        <w:t>，</w:t>
      </w:r>
      <w:r>
        <w:rPr>
          <w:rFonts w:hint="eastAsia" w:ascii="Times New Roman" w:hAnsi="Times New Roman" w:eastAsia="仿宋_GB2312" w:cs="Times New Roman"/>
          <w:color w:val="auto"/>
          <w:sz w:val="32"/>
          <w:szCs w:val="32"/>
          <w:highlight w:val="none"/>
          <w:shd w:val="clear" w:color="auto" w:fill="FFFFFF"/>
        </w:rPr>
        <w:t>关于化妆品的生产和销售规定。</w:t>
      </w:r>
    </w:p>
    <w:p w14:paraId="40CA419D">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2.外包装应为礼品盒形式，一个礼品盒应包含产品清单所有品名内容；礼品盒包括产品外包装和礼品袋；每个清单品目内容都应是独立外包装。</w:t>
      </w:r>
    </w:p>
    <w:p w14:paraId="0D4B85B1">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★3.礼品盒所有的图文设计由中选人与采购人共同商议。</w:t>
      </w:r>
    </w:p>
    <w:p w14:paraId="2C44C1F7">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★4.根据采购人要求，提供添加中药材的日化用品，最终的功效、质地与配方，由中选人与采购人进行调配，采购人确认后进行最终的生产。且生产厂商应具有《化妆品生产许可证》</w:t>
      </w:r>
      <w:r>
        <w:rPr>
          <w:rFonts w:hint="eastAsia" w:ascii="Times New Roman" w:hAnsi="Times New Roman" w:eastAsia="仿宋_GB2312" w:cs="Times New Roman"/>
          <w:b/>
          <w:bCs/>
          <w:color w:val="auto"/>
          <w:sz w:val="32"/>
          <w:szCs w:val="32"/>
          <w:highlight w:val="none"/>
          <w:shd w:val="clear" w:color="auto" w:fill="FFFFFF"/>
        </w:rPr>
        <w:t>(提供承诺函，格式自拟)</w:t>
      </w:r>
      <w:r>
        <w:rPr>
          <w:rFonts w:hint="eastAsia" w:ascii="Times New Roman" w:hAnsi="Times New Roman" w:eastAsia="仿宋_GB2312" w:cs="Times New Roman"/>
          <w:color w:val="auto"/>
          <w:sz w:val="32"/>
          <w:szCs w:val="32"/>
          <w:highlight w:val="none"/>
          <w:shd w:val="clear" w:color="auto" w:fill="FFFFFF"/>
        </w:rPr>
        <w:t>。</w:t>
      </w:r>
    </w:p>
    <w:p w14:paraId="5040EDC9">
      <w:pPr>
        <w:shd w:val="clear" w:color="auto" w:fill="FFFFFF"/>
        <w:tabs>
          <w:tab w:val="left" w:pos="720"/>
          <w:tab w:val="left" w:pos="900"/>
        </w:tabs>
        <w:adjustRightInd w:val="0"/>
        <w:snapToGrid w:val="0"/>
        <w:spacing w:line="560" w:lineRule="exact"/>
        <w:ind w:firstLine="643" w:firstLineChars="200"/>
        <w:rPr>
          <w:rFonts w:hint="eastAsia" w:ascii="Times New Roman" w:hAnsi="Times New Roman" w:eastAsia="仿宋_GB2312" w:cs="Times New Roman"/>
          <w:b/>
          <w:bCs/>
          <w:color w:val="auto"/>
          <w:sz w:val="32"/>
          <w:szCs w:val="32"/>
          <w:highlight w:val="none"/>
          <w:shd w:val="clear" w:color="auto" w:fill="FFFFFF"/>
        </w:rPr>
      </w:pPr>
      <w:r>
        <w:rPr>
          <w:rFonts w:hint="eastAsia" w:ascii="Times New Roman" w:hAnsi="Times New Roman" w:eastAsia="仿宋_GB2312" w:cs="Times New Roman"/>
          <w:b/>
          <w:bCs/>
          <w:color w:val="auto"/>
          <w:sz w:val="32"/>
          <w:szCs w:val="32"/>
          <w:highlight w:val="none"/>
          <w:shd w:val="clear" w:color="auto" w:fill="FFFFFF"/>
          <w:lang w:eastAsia="zh-CN"/>
        </w:rPr>
        <w:t>（</w:t>
      </w:r>
      <w:r>
        <w:rPr>
          <w:rFonts w:hint="eastAsia" w:ascii="Times New Roman" w:hAnsi="Times New Roman" w:eastAsia="仿宋_GB2312" w:cs="Times New Roman"/>
          <w:b/>
          <w:bCs/>
          <w:color w:val="auto"/>
          <w:sz w:val="32"/>
          <w:szCs w:val="32"/>
          <w:highlight w:val="none"/>
          <w:shd w:val="clear" w:color="auto" w:fill="FFFFFF"/>
          <w:lang w:val="en-US" w:eastAsia="zh-CN"/>
        </w:rPr>
        <w:t>二</w:t>
      </w:r>
      <w:r>
        <w:rPr>
          <w:rFonts w:hint="eastAsia" w:ascii="Times New Roman" w:hAnsi="Times New Roman" w:eastAsia="仿宋_GB2312" w:cs="Times New Roman"/>
          <w:b/>
          <w:bCs/>
          <w:color w:val="auto"/>
          <w:sz w:val="32"/>
          <w:szCs w:val="32"/>
          <w:highlight w:val="none"/>
          <w:shd w:val="clear" w:color="auto" w:fill="FFFFFF"/>
          <w:lang w:eastAsia="zh-CN"/>
        </w:rPr>
        <w:t>）</w:t>
      </w:r>
      <w:r>
        <w:rPr>
          <w:rFonts w:hint="eastAsia" w:ascii="Times New Roman" w:hAnsi="Times New Roman" w:eastAsia="仿宋_GB2312" w:cs="Times New Roman"/>
          <w:b/>
          <w:bCs/>
          <w:color w:val="auto"/>
          <w:sz w:val="32"/>
          <w:szCs w:val="32"/>
          <w:highlight w:val="none"/>
          <w:shd w:val="clear" w:color="auto" w:fill="FFFFFF"/>
        </w:rPr>
        <w:t>具体要求</w:t>
      </w:r>
    </w:p>
    <w:p w14:paraId="68303089">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1.滋润型洗发水：</w:t>
      </w:r>
    </w:p>
    <w:p w14:paraId="73845646">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1.1【功能】深层滋养头皮与发丝，为秀发补充流失的水分与营养，改善头发干枯现象，令秀发丰盈润泽</w:t>
      </w:r>
    </w:p>
    <w:p w14:paraId="3F0A81C0">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1.2【执行标准】GB/T 29679-2013 《洗发液、洗发膏》</w:t>
      </w:r>
    </w:p>
    <w:p w14:paraId="587588E5">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★1.3【有效期】自开瓶起36个月</w:t>
      </w:r>
    </w:p>
    <w:p w14:paraId="388A1712">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★1.4【产品成分】人参叶/茎提取物、浮萍提取物、紫蓝花白芨鳞茎提取物、膜荚黄芪根提取物、侧柏叶提取物、无患子果提取物、苦参根提取物、皂荚提取物、迷迭香叶油、α-葡聚糖寡糖。</w:t>
      </w:r>
    </w:p>
    <w:p w14:paraId="12F325FC">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2、控油洗发乳：</w:t>
      </w:r>
    </w:p>
    <w:p w14:paraId="44769499">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2.1【功能】深层清洁头皮多余油脂，调节控制头皮油脂分泌，持久维持头皮清爽蓬松，减少头油带来的黏腻异味、缓解发根软榻。</w:t>
      </w:r>
    </w:p>
    <w:p w14:paraId="5185664B">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lang w:val="en-US" w:eastAsia="zh-CN"/>
        </w:rPr>
        <w:t>2</w:t>
      </w:r>
      <w:r>
        <w:rPr>
          <w:rFonts w:hint="eastAsia" w:ascii="Times New Roman" w:hAnsi="Times New Roman" w:eastAsia="仿宋_GB2312" w:cs="Times New Roman"/>
          <w:color w:val="auto"/>
          <w:sz w:val="32"/>
          <w:szCs w:val="32"/>
          <w:highlight w:val="none"/>
          <w:shd w:val="clear" w:color="auto" w:fill="FFFFFF"/>
        </w:rPr>
        <w:t>.2【执行标准】GB/T 29679-2013 《洗发液、洗发膏》</w:t>
      </w:r>
    </w:p>
    <w:p w14:paraId="5EFD5605">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lang w:val="en-US" w:eastAsia="zh-CN"/>
        </w:rPr>
        <w:t>2</w:t>
      </w:r>
      <w:r>
        <w:rPr>
          <w:rFonts w:hint="eastAsia" w:ascii="Times New Roman" w:hAnsi="Times New Roman" w:eastAsia="仿宋_GB2312" w:cs="Times New Roman"/>
          <w:color w:val="auto"/>
          <w:sz w:val="32"/>
          <w:szCs w:val="32"/>
          <w:highlight w:val="none"/>
          <w:shd w:val="clear" w:color="auto" w:fill="FFFFFF"/>
        </w:rPr>
        <w:t>.3【有效期】自开瓶起36个月</w:t>
      </w:r>
    </w:p>
    <w:p w14:paraId="6550C6E3">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lang w:eastAsia="zh-CN"/>
        </w:rPr>
      </w:pPr>
      <w:r>
        <w:rPr>
          <w:rFonts w:hint="eastAsia"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lang w:val="en-US" w:eastAsia="zh-CN"/>
        </w:rPr>
        <w:t>2</w:t>
      </w:r>
      <w:r>
        <w:rPr>
          <w:rFonts w:hint="eastAsia" w:ascii="Times New Roman" w:hAnsi="Times New Roman" w:eastAsia="仿宋_GB2312" w:cs="Times New Roman"/>
          <w:color w:val="auto"/>
          <w:sz w:val="32"/>
          <w:szCs w:val="32"/>
          <w:highlight w:val="none"/>
          <w:shd w:val="clear" w:color="auto" w:fill="FFFFFF"/>
        </w:rPr>
        <w:t>.4【产品成分】浮萍提取物、紫蓝花白芨鳞茎提取物、桑根皮提取物、蔓荆果提取物、苦参根提取物、月桂酰肌氨酸钠、丙烯酸（酯）类共聚物、迷迭香叶油、薄荷脑、皂荚提取物、α-葡聚糖寡糖</w:t>
      </w:r>
      <w:r>
        <w:rPr>
          <w:rFonts w:hint="eastAsia" w:ascii="Times New Roman" w:hAnsi="Times New Roman" w:eastAsia="仿宋_GB2312" w:cs="Times New Roman"/>
          <w:color w:val="auto"/>
          <w:sz w:val="32"/>
          <w:szCs w:val="32"/>
          <w:highlight w:val="none"/>
          <w:shd w:val="clear" w:color="auto" w:fill="FFFFFF"/>
          <w:lang w:eastAsia="zh-CN"/>
        </w:rPr>
        <w:t>。</w:t>
      </w:r>
    </w:p>
    <w:p w14:paraId="7EDA947D">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3.润唇膏：</w:t>
      </w:r>
    </w:p>
    <w:p w14:paraId="32A5F7F2">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3.1【功能】润唇</w:t>
      </w:r>
    </w:p>
    <w:p w14:paraId="0A07B64C">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3.2【执行标准】GB/T 26513-2023《润唇膏</w:t>
      </w:r>
      <w:r>
        <w:rPr>
          <w:rFonts w:hint="eastAsia" w:ascii="Times New Roman" w:hAnsi="Times New Roman" w:eastAsia="仿宋_GB2312" w:cs="Times New Roman"/>
          <w:color w:val="auto"/>
          <w:sz w:val="32"/>
          <w:szCs w:val="32"/>
          <w:highlight w:val="none"/>
          <w:shd w:val="clear" w:color="auto" w:fill="FFFFFF"/>
          <w:lang w:eastAsia="zh-CN"/>
        </w:rPr>
        <w:t>（</w:t>
      </w:r>
      <w:r>
        <w:rPr>
          <w:rFonts w:hint="eastAsia" w:ascii="Times New Roman" w:hAnsi="Times New Roman" w:eastAsia="仿宋_GB2312" w:cs="Times New Roman"/>
          <w:color w:val="auto"/>
          <w:sz w:val="32"/>
          <w:szCs w:val="32"/>
          <w:highlight w:val="none"/>
          <w:shd w:val="clear" w:color="auto" w:fill="FFFFFF"/>
        </w:rPr>
        <w:t>嗜喱、霜</w:t>
      </w:r>
      <w:r>
        <w:rPr>
          <w:rFonts w:hint="eastAsia" w:ascii="Times New Roman" w:hAnsi="Times New Roman" w:eastAsia="仿宋_GB2312" w:cs="Times New Roman"/>
          <w:color w:val="auto"/>
          <w:sz w:val="32"/>
          <w:szCs w:val="32"/>
          <w:highlight w:val="none"/>
          <w:shd w:val="clear" w:color="auto" w:fill="FFFFFF"/>
          <w:lang w:eastAsia="zh-CN"/>
        </w:rPr>
        <w:t>）</w:t>
      </w:r>
      <w:r>
        <w:rPr>
          <w:rFonts w:hint="eastAsia" w:ascii="Times New Roman" w:hAnsi="Times New Roman" w:eastAsia="仿宋_GB2312" w:cs="Times New Roman"/>
          <w:color w:val="auto"/>
          <w:sz w:val="32"/>
          <w:szCs w:val="32"/>
          <w:highlight w:val="none"/>
          <w:shd w:val="clear" w:color="auto" w:fill="FFFFFF"/>
        </w:rPr>
        <w:t>》</w:t>
      </w:r>
    </w:p>
    <w:p w14:paraId="39863552">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★3.3【有效期】24个月</w:t>
      </w:r>
    </w:p>
    <w:p w14:paraId="60DD5CCA">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★3.4【产品成分】白蜂蜡、小烛树蜡提取物、人参叶/茎提取物、生育酚（维生素E）、麦冬根提取物、紫草根提取物、当归根提取物</w:t>
      </w:r>
      <w:r>
        <w:rPr>
          <w:rFonts w:hint="eastAsia" w:ascii="Times New Roman" w:hAnsi="Times New Roman" w:eastAsia="仿宋_GB2312" w:cs="Times New Roman"/>
          <w:color w:val="auto"/>
          <w:sz w:val="32"/>
          <w:szCs w:val="32"/>
          <w:highlight w:val="none"/>
          <w:shd w:val="clear" w:color="auto" w:fill="FFFFFF"/>
          <w:lang w:eastAsia="zh-CN"/>
        </w:rPr>
        <w:t>。</w:t>
      </w:r>
      <w:r>
        <w:rPr>
          <w:rFonts w:hint="eastAsia" w:ascii="Times New Roman" w:hAnsi="Times New Roman" w:eastAsia="仿宋_GB2312" w:cs="Times New Roman"/>
          <w:color w:val="auto"/>
          <w:sz w:val="32"/>
          <w:szCs w:val="32"/>
          <w:highlight w:val="none"/>
          <w:shd w:val="clear" w:color="auto" w:fill="FFFFFF"/>
        </w:rPr>
        <w:t>其他微量成分：薄荷脑、甘草提取物、α-葡聚糖寡糖</w:t>
      </w:r>
      <w:r>
        <w:rPr>
          <w:rFonts w:hint="eastAsia" w:ascii="Times New Roman" w:hAnsi="Times New Roman" w:eastAsia="仿宋_GB2312" w:cs="Times New Roman"/>
          <w:color w:val="auto"/>
          <w:sz w:val="32"/>
          <w:szCs w:val="32"/>
          <w:highlight w:val="none"/>
          <w:shd w:val="clear" w:color="auto" w:fill="FFFFFF"/>
          <w:lang w:eastAsia="zh-CN"/>
        </w:rPr>
        <w:t>。</w:t>
      </w:r>
    </w:p>
    <w:p w14:paraId="1C3F489F">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lang w:eastAsia="zh-CN"/>
        </w:rPr>
      </w:pPr>
      <w:r>
        <w:rPr>
          <w:rFonts w:hint="eastAsia" w:ascii="Times New Roman" w:hAnsi="Times New Roman" w:eastAsia="仿宋_GB2312" w:cs="Times New Roman"/>
          <w:color w:val="auto"/>
          <w:sz w:val="32"/>
          <w:szCs w:val="32"/>
          <w:highlight w:val="none"/>
          <w:shd w:val="clear" w:color="auto" w:fill="FFFFFF"/>
        </w:rPr>
        <w:t>4.祛痘面膜：</w:t>
      </w:r>
    </w:p>
    <w:p w14:paraId="6AD9FF34">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4.1【功能】祛痘、舒缓、修复</w:t>
      </w:r>
    </w:p>
    <w:p w14:paraId="3E0C9FAE">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lang w:eastAsia="zh-CN"/>
        </w:rPr>
      </w:pPr>
      <w:r>
        <w:rPr>
          <w:rFonts w:hint="eastAsia" w:ascii="Times New Roman" w:hAnsi="Times New Roman" w:eastAsia="仿宋_GB2312" w:cs="Times New Roman"/>
          <w:color w:val="auto"/>
          <w:sz w:val="32"/>
          <w:szCs w:val="32"/>
          <w:highlight w:val="none"/>
          <w:shd w:val="clear" w:color="auto" w:fill="FFFFFF"/>
          <w:lang w:val="en-US" w:eastAsia="zh-CN"/>
        </w:rPr>
        <w:t>4.2</w:t>
      </w:r>
      <w:r>
        <w:rPr>
          <w:rFonts w:hint="eastAsia" w:ascii="Times New Roman" w:hAnsi="Times New Roman" w:eastAsia="仿宋_GB2312" w:cs="Times New Roman"/>
          <w:color w:val="auto"/>
          <w:sz w:val="32"/>
          <w:szCs w:val="32"/>
          <w:highlight w:val="none"/>
          <w:shd w:val="clear" w:color="auto" w:fill="FFFFFF"/>
        </w:rPr>
        <w:t>【执行标准】QB/T 2872-2017</w:t>
      </w:r>
      <w:r>
        <w:rPr>
          <w:rFonts w:hint="eastAsia" w:ascii="Times New Roman" w:hAnsi="Times New Roman" w:eastAsia="仿宋_GB2312" w:cs="Times New Roman"/>
          <w:color w:val="auto"/>
          <w:sz w:val="32"/>
          <w:szCs w:val="32"/>
          <w:highlight w:val="none"/>
          <w:shd w:val="clear" w:color="auto" w:fill="FFFFFF"/>
          <w:lang w:eastAsia="zh-CN"/>
        </w:rPr>
        <w:t>《面膜》</w:t>
      </w:r>
    </w:p>
    <w:p w14:paraId="5BD09327">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shd w:val="clear" w:color="auto" w:fill="FFFFFF"/>
        </w:rPr>
        <w:t>★4.</w:t>
      </w:r>
      <w:r>
        <w:rPr>
          <w:rFonts w:hint="eastAsia" w:ascii="Times New Roman" w:hAnsi="Times New Roman" w:eastAsia="仿宋_GB2312" w:cs="Times New Roman"/>
          <w:color w:val="auto"/>
          <w:sz w:val="32"/>
          <w:szCs w:val="32"/>
          <w:highlight w:val="none"/>
          <w:shd w:val="clear" w:color="auto" w:fill="FFFFFF"/>
          <w:lang w:val="en-US" w:eastAsia="zh-CN"/>
        </w:rPr>
        <w:t>3</w:t>
      </w:r>
      <w:r>
        <w:rPr>
          <w:rFonts w:hint="eastAsia" w:ascii="Times New Roman" w:hAnsi="Times New Roman" w:eastAsia="仿宋_GB2312" w:cs="Times New Roman"/>
          <w:color w:val="auto"/>
          <w:sz w:val="32"/>
          <w:szCs w:val="32"/>
          <w:highlight w:val="none"/>
          <w:shd w:val="clear" w:color="auto" w:fill="FFFFFF"/>
        </w:rPr>
        <w:t>【有效期】24个月</w:t>
      </w:r>
    </w:p>
    <w:p w14:paraId="334ED4A0">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lang w:eastAsia="zh-CN"/>
        </w:rPr>
      </w:pPr>
      <w:r>
        <w:rPr>
          <w:rFonts w:hint="eastAsia" w:ascii="Times New Roman" w:hAnsi="Times New Roman" w:eastAsia="仿宋_GB2312" w:cs="Times New Roman"/>
          <w:color w:val="auto"/>
          <w:sz w:val="32"/>
          <w:szCs w:val="32"/>
          <w:highlight w:val="none"/>
          <w:shd w:val="clear" w:color="auto" w:fill="FFFFFF"/>
        </w:rPr>
        <w:t>★4.</w:t>
      </w:r>
      <w:r>
        <w:rPr>
          <w:rFonts w:hint="eastAsia" w:ascii="Times New Roman" w:hAnsi="Times New Roman" w:eastAsia="仿宋_GB2312" w:cs="Times New Roman"/>
          <w:color w:val="auto"/>
          <w:sz w:val="32"/>
          <w:szCs w:val="32"/>
          <w:highlight w:val="none"/>
          <w:shd w:val="clear" w:color="auto" w:fill="FFFFFF"/>
          <w:lang w:val="en-US" w:eastAsia="zh-CN"/>
        </w:rPr>
        <w:t>4</w:t>
      </w:r>
      <w:r>
        <w:rPr>
          <w:rFonts w:hint="eastAsia" w:ascii="Times New Roman" w:hAnsi="Times New Roman" w:eastAsia="仿宋_GB2312" w:cs="Times New Roman"/>
          <w:color w:val="auto"/>
          <w:sz w:val="32"/>
          <w:szCs w:val="32"/>
          <w:highlight w:val="none"/>
          <w:shd w:val="clear" w:color="auto" w:fill="FFFFFF"/>
        </w:rPr>
        <w:t>【产品成分】栝楼根提取物、甜菜碱、紫蓝花白芨鳞茎提取物、水杨酸、菊粉、泛醇、烟酰胺、PEG-40 氢化蓖麻油、小白菊提取物、黄檗树皮提取物、欧蒲公英根茎/根提取物、蓝桉叶提取物、α-葡聚糖寡糖</w:t>
      </w:r>
      <w:r>
        <w:rPr>
          <w:rFonts w:hint="eastAsia" w:ascii="Times New Roman" w:hAnsi="Times New Roman" w:eastAsia="仿宋_GB2312" w:cs="Times New Roman"/>
          <w:color w:val="auto"/>
          <w:sz w:val="32"/>
          <w:szCs w:val="32"/>
          <w:highlight w:val="none"/>
          <w:shd w:val="clear" w:color="auto" w:fill="FFFFFF"/>
          <w:lang w:eastAsia="zh-CN"/>
        </w:rPr>
        <w:t>。</w:t>
      </w:r>
    </w:p>
    <w:p w14:paraId="40839BDE">
      <w:pPr>
        <w:shd w:val="clear" w:color="auto" w:fill="FFFFFF"/>
        <w:tabs>
          <w:tab w:val="left" w:pos="720"/>
          <w:tab w:val="left" w:pos="900"/>
        </w:tabs>
        <w:snapToGrid w:val="0"/>
        <w:spacing w:line="560" w:lineRule="exact"/>
        <w:ind w:firstLine="640" w:firstLineChars="200"/>
        <w:rPr>
          <w:rFonts w:hint="eastAsia" w:ascii="黑体" w:hAnsi="黑体" w:eastAsia="黑体" w:cs="黑体"/>
          <w:b w:val="0"/>
          <w:bCs w:val="0"/>
          <w:color w:val="auto"/>
          <w:sz w:val="32"/>
          <w:szCs w:val="32"/>
          <w:highlight w:val="none"/>
          <w:shd w:val="clear" w:color="auto" w:fill="FFFFFF"/>
        </w:rPr>
      </w:pPr>
      <w:r>
        <w:rPr>
          <w:rFonts w:hint="eastAsia" w:ascii="黑体" w:hAnsi="黑体" w:eastAsia="黑体" w:cs="黑体"/>
          <w:b w:val="0"/>
          <w:bCs w:val="0"/>
          <w:color w:val="auto"/>
          <w:sz w:val="32"/>
          <w:szCs w:val="32"/>
          <w:highlight w:val="none"/>
          <w:shd w:val="clear" w:color="auto" w:fill="FFFFFF"/>
        </w:rPr>
        <w:t>★</w:t>
      </w:r>
      <w:r>
        <w:rPr>
          <w:rFonts w:hint="eastAsia" w:ascii="黑体" w:hAnsi="黑体" w:eastAsia="黑体" w:cs="黑体"/>
          <w:b w:val="0"/>
          <w:bCs w:val="0"/>
          <w:color w:val="auto"/>
          <w:sz w:val="32"/>
          <w:szCs w:val="32"/>
          <w:highlight w:val="none"/>
          <w:shd w:val="clear" w:color="auto" w:fill="FFFFFF"/>
          <w:lang w:val="en-US" w:eastAsia="zh-CN"/>
        </w:rPr>
        <w:t>四</w:t>
      </w:r>
      <w:r>
        <w:rPr>
          <w:rFonts w:hint="eastAsia" w:ascii="黑体" w:hAnsi="黑体" w:eastAsia="黑体" w:cs="黑体"/>
          <w:b w:val="0"/>
          <w:bCs w:val="0"/>
          <w:color w:val="auto"/>
          <w:sz w:val="32"/>
          <w:szCs w:val="32"/>
          <w:highlight w:val="none"/>
          <w:shd w:val="clear" w:color="auto" w:fill="FFFFFF"/>
        </w:rPr>
        <w:t>、商务要求</w:t>
      </w:r>
    </w:p>
    <w:p w14:paraId="601363BD">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lang w:eastAsia="zh-CN"/>
        </w:rPr>
      </w:pPr>
      <w:r>
        <w:rPr>
          <w:rFonts w:hint="eastAsia" w:ascii="Times New Roman" w:hAnsi="Times New Roman" w:eastAsia="仿宋_GB2312" w:cs="Times New Roman"/>
          <w:color w:val="auto"/>
          <w:sz w:val="32"/>
          <w:szCs w:val="32"/>
          <w:highlight w:val="none"/>
        </w:rPr>
        <w:t>（一）</w:t>
      </w:r>
      <w:r>
        <w:rPr>
          <w:rFonts w:hint="eastAsia" w:ascii="Times New Roman" w:hAnsi="Times New Roman" w:eastAsia="仿宋_GB2312" w:cs="Times New Roman"/>
          <w:color w:val="auto"/>
          <w:sz w:val="32"/>
          <w:szCs w:val="32"/>
          <w:highlight w:val="none"/>
          <w:shd w:val="clear" w:color="auto" w:fill="FFFFFF"/>
          <w:lang w:val="en-US" w:eastAsia="zh-CN"/>
        </w:rPr>
        <w:t>交货时间</w:t>
      </w:r>
      <w:r>
        <w:rPr>
          <w:rFonts w:ascii="Times New Roman" w:hAnsi="Times New Roman" w:eastAsia="仿宋_GB2312" w:cs="Times New Roman"/>
          <w:color w:val="auto"/>
          <w:sz w:val="32"/>
          <w:szCs w:val="32"/>
          <w:highlight w:val="none"/>
          <w:shd w:val="clear" w:color="auto" w:fill="FFFFFF"/>
        </w:rPr>
        <w:t>：</w:t>
      </w:r>
      <w:r>
        <w:rPr>
          <w:rFonts w:hint="eastAsia" w:ascii="Times New Roman" w:hAnsi="Times New Roman" w:eastAsia="仿宋_GB2312" w:cs="Times New Roman"/>
          <w:color w:val="auto"/>
          <w:sz w:val="32"/>
          <w:szCs w:val="32"/>
          <w:highlight w:val="none"/>
          <w:shd w:val="clear" w:color="auto" w:fill="FFFFFF"/>
        </w:rPr>
        <w:t>合同签订后</w:t>
      </w:r>
      <w:r>
        <w:rPr>
          <w:rFonts w:hint="eastAsia" w:ascii="Times New Roman" w:hAnsi="Times New Roman" w:eastAsia="仿宋_GB2312" w:cs="Times New Roman"/>
          <w:color w:val="auto"/>
          <w:sz w:val="32"/>
          <w:szCs w:val="32"/>
          <w:highlight w:val="none"/>
          <w:shd w:val="clear" w:color="auto" w:fill="FFFFFF"/>
          <w:lang w:val="en-US" w:eastAsia="zh-CN"/>
        </w:rPr>
        <w:t>7</w:t>
      </w:r>
      <w:r>
        <w:rPr>
          <w:rFonts w:hint="eastAsia" w:ascii="Times New Roman" w:hAnsi="Times New Roman" w:eastAsia="仿宋_GB2312" w:cs="Times New Roman"/>
          <w:color w:val="auto"/>
          <w:sz w:val="32"/>
          <w:szCs w:val="32"/>
          <w:highlight w:val="none"/>
          <w:shd w:val="clear" w:color="auto" w:fill="FFFFFF"/>
        </w:rPr>
        <w:t>日内完成</w:t>
      </w:r>
      <w:r>
        <w:rPr>
          <w:rFonts w:hint="eastAsia" w:ascii="Times New Roman" w:hAnsi="Times New Roman" w:eastAsia="仿宋_GB2312" w:cs="Times New Roman"/>
          <w:color w:val="auto"/>
          <w:sz w:val="32"/>
          <w:szCs w:val="32"/>
          <w:highlight w:val="none"/>
          <w:shd w:val="clear" w:color="auto" w:fill="FFFFFF"/>
          <w:lang w:eastAsia="zh-CN"/>
        </w:rPr>
        <w:t>。</w:t>
      </w:r>
    </w:p>
    <w:p w14:paraId="2FF01068">
      <w:pPr>
        <w:shd w:val="clear" w:color="auto" w:fill="FFFFFF"/>
        <w:tabs>
          <w:tab w:val="left" w:pos="720"/>
          <w:tab w:val="left" w:pos="900"/>
        </w:tabs>
        <w:adjustRightInd w:val="0"/>
        <w:snapToGrid w:val="0"/>
        <w:spacing w:line="560" w:lineRule="exact"/>
        <w:ind w:firstLine="640" w:firstLineChars="200"/>
        <w:rPr>
          <w:rFonts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rPr>
        <w:t>（二）</w:t>
      </w:r>
      <w:r>
        <w:rPr>
          <w:rFonts w:hint="eastAsia" w:ascii="Times New Roman" w:hAnsi="Times New Roman" w:eastAsia="仿宋_GB2312" w:cs="Times New Roman"/>
          <w:color w:val="auto"/>
          <w:sz w:val="32"/>
          <w:szCs w:val="32"/>
          <w:highlight w:val="none"/>
          <w:shd w:val="clear" w:color="auto" w:fill="FFFFFF"/>
          <w:lang w:val="en-US" w:eastAsia="zh-CN"/>
        </w:rPr>
        <w:t>交货</w:t>
      </w:r>
      <w:r>
        <w:rPr>
          <w:rFonts w:ascii="Times New Roman" w:hAnsi="Times New Roman" w:eastAsia="仿宋_GB2312" w:cs="Times New Roman"/>
          <w:color w:val="auto"/>
          <w:sz w:val="32"/>
          <w:szCs w:val="32"/>
          <w:highlight w:val="none"/>
          <w:shd w:val="clear" w:color="auto" w:fill="FFFFFF"/>
        </w:rPr>
        <w:t>地点：</w:t>
      </w:r>
      <w:r>
        <w:rPr>
          <w:rFonts w:hint="eastAsia" w:ascii="Times New Roman" w:hAnsi="Times New Roman" w:eastAsia="仿宋_GB2312" w:cs="Times New Roman"/>
          <w:color w:val="auto"/>
          <w:sz w:val="32"/>
          <w:szCs w:val="32"/>
          <w:highlight w:val="none"/>
          <w:shd w:val="clear" w:color="auto" w:fill="FFFFFF"/>
        </w:rPr>
        <w:t>成都市中西医结合医院</w:t>
      </w:r>
      <w:r>
        <w:rPr>
          <w:rFonts w:ascii="Times New Roman" w:hAnsi="Times New Roman" w:eastAsia="仿宋_GB2312" w:cs="Times New Roman"/>
          <w:color w:val="auto"/>
          <w:sz w:val="32"/>
          <w:szCs w:val="32"/>
          <w:highlight w:val="none"/>
          <w:shd w:val="clear" w:color="auto" w:fill="FFFFFF"/>
        </w:rPr>
        <w:t>。</w:t>
      </w:r>
    </w:p>
    <w:p w14:paraId="3DD25DC8">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rPr>
        <w:t>（三）</w:t>
      </w:r>
      <w:r>
        <w:rPr>
          <w:rFonts w:hint="eastAsia" w:ascii="Times New Roman" w:hAnsi="Times New Roman" w:eastAsia="仿宋_GB2312" w:cs="Times New Roman"/>
          <w:color w:val="auto"/>
          <w:sz w:val="32"/>
          <w:szCs w:val="32"/>
          <w:highlight w:val="none"/>
          <w:shd w:val="clear" w:color="auto" w:fill="FFFFFF"/>
        </w:rPr>
        <w:t>报价：本项目预算及最高限价</w:t>
      </w:r>
      <w:r>
        <w:rPr>
          <w:rFonts w:hint="eastAsia" w:ascii="Times New Roman" w:hAnsi="Times New Roman" w:eastAsia="仿宋_GB2312" w:cs="Times New Roman"/>
          <w:color w:val="auto"/>
          <w:sz w:val="32"/>
          <w:szCs w:val="32"/>
          <w:highlight w:val="none"/>
          <w:shd w:val="clear" w:color="auto" w:fill="FFFFFF"/>
          <w:lang w:val="en-US" w:eastAsia="zh-CN"/>
        </w:rPr>
        <w:t>4.</w:t>
      </w:r>
      <w:r>
        <w:rPr>
          <w:rFonts w:hint="eastAsia" w:ascii="Times New Roman" w:hAnsi="Times New Roman" w:eastAsia="仿宋_GB2312" w:cs="Times New Roman"/>
          <w:color w:val="auto"/>
          <w:sz w:val="32"/>
          <w:szCs w:val="32"/>
          <w:highlight w:val="none"/>
          <w:shd w:val="clear" w:color="auto" w:fill="FFFFFF"/>
        </w:rPr>
        <w:t>9万元；报价超过采购预算或最高限价，其比选申请文件按无效处理</w:t>
      </w:r>
      <w:r>
        <w:rPr>
          <w:rFonts w:hint="eastAsia" w:ascii="仿宋_GB2312" w:hAnsi="仿宋_GB2312" w:eastAsia="仿宋_GB2312" w:cs="仿宋_GB2312"/>
          <w:color w:val="auto"/>
          <w:sz w:val="32"/>
          <w:szCs w:val="32"/>
          <w:highlight w:val="none"/>
          <w:shd w:val="clear" w:color="auto" w:fill="FFFFFF"/>
        </w:rPr>
        <w:t>。</w:t>
      </w:r>
    </w:p>
    <w:p w14:paraId="7F830A22">
      <w:pPr>
        <w:shd w:val="clear" w:color="auto" w:fill="FFFFFF"/>
        <w:tabs>
          <w:tab w:val="left" w:pos="720"/>
          <w:tab w:val="left" w:pos="900"/>
        </w:tabs>
        <w:adjustRightInd w:val="0"/>
        <w:snapToGrid w:val="0"/>
        <w:spacing w:line="560" w:lineRule="exact"/>
        <w:ind w:firstLine="640" w:firstLineChars="200"/>
        <w:rPr>
          <w:rFonts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rPr>
        <w:t>（四）</w:t>
      </w:r>
      <w:r>
        <w:rPr>
          <w:rFonts w:ascii="Times New Roman" w:hAnsi="Times New Roman" w:eastAsia="仿宋_GB2312" w:cs="Times New Roman"/>
          <w:color w:val="auto"/>
          <w:sz w:val="32"/>
          <w:szCs w:val="32"/>
          <w:highlight w:val="none"/>
          <w:shd w:val="clear" w:color="auto" w:fill="FFFFFF"/>
        </w:rPr>
        <w:t>付款方式：</w:t>
      </w:r>
      <w:r>
        <w:rPr>
          <w:rFonts w:hint="eastAsia" w:ascii="Times New Roman" w:hAnsi="Times New Roman" w:eastAsia="仿宋_GB2312" w:cs="Times New Roman"/>
          <w:color w:val="auto"/>
          <w:sz w:val="32"/>
          <w:szCs w:val="32"/>
          <w:highlight w:val="none"/>
          <w:shd w:val="clear" w:color="auto" w:fill="FFFFFF"/>
          <w:lang w:val="en-US" w:eastAsia="zh-CN"/>
        </w:rPr>
        <w:t>合同签订后，采购人收到供应商合法有效票据及相关付款资料后10个工作日内支付全部合同款</w:t>
      </w:r>
      <w:r>
        <w:rPr>
          <w:rFonts w:ascii="Times New Roman" w:hAnsi="Times New Roman" w:eastAsia="仿宋_GB2312" w:cs="Times New Roman"/>
          <w:color w:val="auto"/>
          <w:sz w:val="32"/>
          <w:szCs w:val="32"/>
          <w:highlight w:val="none"/>
          <w:shd w:val="clear" w:color="auto" w:fill="FFFFFF"/>
        </w:rPr>
        <w:t>。</w:t>
      </w:r>
    </w:p>
    <w:p w14:paraId="51B13198">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r>
        <w:rPr>
          <w:rFonts w:hint="eastAsia" w:ascii="Times New Roman" w:hAnsi="Times New Roman" w:eastAsia="仿宋_GB2312" w:cs="Times New Roman"/>
          <w:color w:val="auto"/>
          <w:sz w:val="32"/>
          <w:szCs w:val="32"/>
          <w:highlight w:val="none"/>
        </w:rPr>
        <w:t>（五）</w:t>
      </w:r>
      <w:r>
        <w:rPr>
          <w:rFonts w:ascii="Times New Roman" w:hAnsi="Times New Roman" w:eastAsia="仿宋_GB2312" w:cs="Times New Roman"/>
          <w:color w:val="auto"/>
          <w:sz w:val="32"/>
          <w:szCs w:val="32"/>
          <w:highlight w:val="none"/>
          <w:shd w:val="clear" w:color="auto" w:fill="FFFFFF"/>
        </w:rPr>
        <w:t>验收要求：参照《财政部关于进一步加强政府采购需求和履约验收管理的指导意见》（财库〔2016〕205号）《政府采购需求管理办法》（财库〔2021〕22号）等相关法律法规的要求进行履约验收</w:t>
      </w:r>
      <w:r>
        <w:rPr>
          <w:rFonts w:hint="eastAsia" w:ascii="Times New Roman" w:hAnsi="Times New Roman" w:eastAsia="仿宋_GB2312" w:cs="Times New Roman"/>
          <w:color w:val="auto"/>
          <w:sz w:val="32"/>
          <w:szCs w:val="32"/>
          <w:highlight w:val="none"/>
          <w:shd w:val="clear" w:color="auto" w:fill="FFFFFF"/>
        </w:rPr>
        <w:t>。</w:t>
      </w:r>
    </w:p>
    <w:p w14:paraId="0B3AD3A5">
      <w:pPr>
        <w:shd w:val="clear" w:color="auto" w:fill="FFFFFF"/>
        <w:tabs>
          <w:tab w:val="left" w:pos="720"/>
          <w:tab w:val="left" w:pos="900"/>
        </w:tabs>
        <w:adjustRightInd w:val="0"/>
        <w:snapToGrid w:val="0"/>
        <w:spacing w:line="560" w:lineRule="exact"/>
        <w:ind w:firstLine="640" w:firstLineChars="200"/>
        <w:rPr>
          <w:rFonts w:hint="eastAsia" w:ascii="Times New Roman" w:hAnsi="Times New Roman" w:eastAsia="仿宋_GB2312" w:cs="Times New Roman"/>
          <w:color w:val="auto"/>
          <w:sz w:val="32"/>
          <w:szCs w:val="32"/>
          <w:highlight w:val="none"/>
          <w:shd w:val="clear" w:color="auto" w:fill="FFFFFF"/>
        </w:rPr>
      </w:pPr>
    </w:p>
    <w:p w14:paraId="33E0CACC">
      <w:pPr>
        <w:shd w:val="clear" w:color="auto" w:fill="FFFFFF"/>
        <w:tabs>
          <w:tab w:val="left" w:pos="720"/>
          <w:tab w:val="left" w:pos="900"/>
        </w:tabs>
        <w:adjustRightInd w:val="0"/>
        <w:snapToGrid w:val="0"/>
        <w:spacing w:line="560" w:lineRule="exact"/>
        <w:ind w:firstLine="643" w:firstLineChars="200"/>
        <w:rPr>
          <w:rFonts w:hint="eastAsia" w:ascii="Times New Roman" w:hAnsi="Times New Roman" w:eastAsia="仿宋_GB2312" w:cs="Times New Roman"/>
          <w:b/>
          <w:bCs/>
          <w:color w:val="auto"/>
          <w:sz w:val="32"/>
          <w:szCs w:val="32"/>
          <w:highlight w:val="none"/>
          <w:shd w:val="clear" w:color="auto" w:fill="FFFFFF"/>
          <w:lang w:eastAsia="zh-CN"/>
        </w:rPr>
      </w:pPr>
      <w:r>
        <w:rPr>
          <w:rFonts w:hint="eastAsia" w:ascii="Times New Roman" w:hAnsi="Times New Roman" w:eastAsia="仿宋_GB2312" w:cs="Times New Roman"/>
          <w:b/>
          <w:bCs/>
          <w:color w:val="auto"/>
          <w:sz w:val="32"/>
          <w:szCs w:val="32"/>
          <w:highlight w:val="none"/>
          <w:shd w:val="clear" w:color="auto" w:fill="FFFFFF"/>
          <w:lang w:eastAsia="zh-CN"/>
        </w:rPr>
        <w:t>注：1.本章明确为实质性要求（标注“★”号）的不允许有负偏离，否则做无效响应处理。除实质性要求，其余项目技术指标要求有负偏离仅做扣分处理。</w:t>
      </w:r>
    </w:p>
    <w:p w14:paraId="4FF4A2F6">
      <w:pPr>
        <w:shd w:val="clear" w:color="auto" w:fill="FFFFFF"/>
        <w:tabs>
          <w:tab w:val="left" w:pos="720"/>
          <w:tab w:val="left" w:pos="900"/>
        </w:tabs>
        <w:snapToGrid w:val="0"/>
        <w:spacing w:line="560" w:lineRule="exact"/>
        <w:ind w:firstLine="643" w:firstLineChars="200"/>
        <w:rPr>
          <w:rFonts w:hint="eastAsia" w:ascii="Times New Roman" w:hAnsi="Times New Roman" w:eastAsia="黑体" w:cs="Times New Roman"/>
          <w:sz w:val="32"/>
          <w:szCs w:val="32"/>
          <w:highlight w:val="none"/>
          <w:shd w:val="clear" w:color="auto" w:fill="FFFFFF"/>
          <w:lang w:val="en-US" w:eastAsia="zh-CN"/>
        </w:rPr>
      </w:pPr>
      <w:r>
        <w:rPr>
          <w:rFonts w:hint="eastAsia" w:ascii="Times New Roman" w:hAnsi="Times New Roman" w:eastAsia="仿宋_GB2312" w:cs="Times New Roman"/>
          <w:b/>
          <w:bCs/>
          <w:color w:val="auto"/>
          <w:sz w:val="32"/>
          <w:szCs w:val="32"/>
          <w:highlight w:val="none"/>
          <w:shd w:val="clear" w:color="auto" w:fill="FFFFFF"/>
          <w:lang w:eastAsia="zh-CN"/>
        </w:rPr>
        <w:t>2.除本章中明确要求需要单独提供证明材料外的，供应商在响应文件中针对实质性要求仅在偏离表中进行明确响应即可，评审委员会在评审时，仅对响应文件是否违背实质性要求进行审查。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_GBK">
    <w:panose1 w:val="03000509000000000000"/>
    <w:charset w:val="86"/>
    <w:family w:val="script"/>
    <w:pitch w:val="default"/>
    <w:sig w:usb0="00000001" w:usb1="080E0000" w:usb2="00000000" w:usb3="00000000" w:csb0="00040001" w:csb1="00000000"/>
  </w:font>
  <w:font w:name="方正仿宋_GBK">
    <w:panose1 w:val="03000509000000000000"/>
    <w:charset w:val="86"/>
    <w:family w:val="script"/>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MxZmUxZjUzMjY2OGYxMTk4N2M4YTc1ZjZhYTc3N2YifQ=="/>
  </w:docVars>
  <w:rsids>
    <w:rsidRoot w:val="00000000"/>
    <w:rsid w:val="45110459"/>
    <w:rsid w:val="64F70697"/>
    <w:rsid w:val="78530F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jc w:val="center"/>
      <w:outlineLvl w:val="0"/>
    </w:pPr>
    <w:rPr>
      <w:rFonts w:ascii="仿宋_GB2312" w:hAnsi="仿宋_GB2312" w:eastAsia="仿宋_GB2312"/>
      <w:b/>
      <w:kern w:val="44"/>
      <w:sz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99"/>
    <w:pPr>
      <w:tabs>
        <w:tab w:val="center" w:pos="4153"/>
        <w:tab w:val="right" w:pos="8306"/>
      </w:tabs>
      <w:snapToGrid w:val="0"/>
      <w:jc w:val="left"/>
    </w:pPr>
    <w:rPr>
      <w:rFonts w:cs="Times New Roman"/>
      <w:sz w:val="18"/>
      <w:szCs w:val="18"/>
    </w:rPr>
  </w:style>
  <w:style w:type="table" w:customStyle="1" w:styleId="6">
    <w:name w:val="Table Normal"/>
    <w:unhideWhenUsed/>
    <w:qFormat/>
    <w:uiPriority w:val="0"/>
    <w:rPr>
      <w:lang w:val="en-US" w:eastAsia="zh-CN" w:bidi="ar-SA"/>
    </w:rPr>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916</Words>
  <Characters>930</Characters>
  <Lines>0</Lines>
  <Paragraphs>0</Paragraphs>
  <TotalTime>0</TotalTime>
  <ScaleCrop>false</ScaleCrop>
  <LinksUpToDate>false</LinksUpToDate>
  <CharactersWithSpaces>931</CharactersWithSpaces>
  <Application>WPS Office_12.1.0.26375_F1E327BC-269C-435d-A152-05C5408002CA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2024-10-22T02:21:00Z</dcterms:created>
  <dc:creator>Administrator</dc:creator>
  <cp:lastModifiedBy>国招 杨静</cp:lastModifiedBy>
  <dcterms:modified xsi:type="dcterms:W3CDTF">2026-10-13T08:49:19Z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2052-12.1.0.26375</vt:lpwstr>
  </property>
  <property fmtid="{D5CDD505-2E9C-101B-9397-08002B2CF9AE}" pid="3" name="ICV">
    <vt:lpwstr>4028AC1DA5DA4FB9B6A0A8EC7C1DC9EB_13</vt:lpwstr>
  </property>
  <property fmtid="{D5CDD505-2E9C-101B-9397-08002B2CF9AE}" pid="4" name="KSOTemplateDocerSaveRecord">
    <vt:lpwstr>eyJoZGlkIjoiMWRhMTBhYzU5NmFlY2Q4MDk0YWVmZTU1YWVjYmNmZTkiLCJ1c2VySWQiOiI1ODgxMjY0MzIifQ==</vt:lpwstr>
  </property>
</Properties>
</file>