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24853E">
      <w:pPr>
        <w:keepNext/>
        <w:keepLines/>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240" w:lineRule="auto"/>
        <w:jc w:val="both"/>
        <w:textAlignment w:val="auto"/>
        <w:outlineLvl w:val="0"/>
        <w:rPr>
          <w:rFonts w:hint="default" w:ascii="Times New Roman" w:hAnsi="Times New Roman" w:eastAsia="方正小标宋_GBK" w:cs="Times New Roman"/>
          <w:b w:val="0"/>
          <w:bCs/>
          <w:kern w:val="44"/>
          <w:sz w:val="30"/>
          <w:szCs w:val="30"/>
          <w:highlight w:val="none"/>
          <w:lang w:val="en-US" w:eastAsia="zh-CN" w:bidi="ar-SA"/>
        </w:rPr>
      </w:pPr>
      <w:r>
        <w:rPr>
          <w:rFonts w:hint="default" w:ascii="Times New Roman" w:hAnsi="Times New Roman" w:eastAsia="方正小标宋_GBK" w:cs="Times New Roman"/>
          <w:b w:val="0"/>
          <w:bCs/>
          <w:kern w:val="44"/>
          <w:sz w:val="30"/>
          <w:szCs w:val="30"/>
          <w:highlight w:val="none"/>
          <w:lang w:val="en-US" w:eastAsia="zh-CN" w:bidi="ar-SA"/>
        </w:rPr>
        <w:t>附件</w:t>
      </w:r>
    </w:p>
    <w:p w14:paraId="11398F97">
      <w:pPr>
        <w:keepNext/>
        <w:keepLines/>
        <w:widowControl w:val="0"/>
        <w:numPr>
          <w:ilvl w:val="0"/>
          <w:numId w:val="0"/>
        </w:numPr>
        <w:bidi w:val="0"/>
        <w:spacing w:before="340" w:beforeLines="0" w:beforeAutospacing="0" w:after="330" w:afterLines="0" w:afterAutospacing="0" w:line="576" w:lineRule="auto"/>
        <w:jc w:val="center"/>
        <w:outlineLvl w:val="0"/>
        <w:rPr>
          <w:rFonts w:hint="default" w:ascii="方正小标宋_GBK" w:hAnsi="方正小标宋_GBK" w:eastAsia="方正小标宋_GBK" w:cs="方正小标宋_GBK"/>
          <w:b w:val="0"/>
          <w:bCs/>
          <w:kern w:val="44"/>
          <w:sz w:val="44"/>
          <w:szCs w:val="36"/>
          <w:highlight w:val="none"/>
          <w:lang w:val="en-US" w:eastAsia="zh-CN" w:bidi="ar-SA"/>
        </w:rPr>
      </w:pPr>
      <w:bookmarkStart w:id="0" w:name="_Toc481"/>
      <w:r>
        <w:rPr>
          <w:rFonts w:hint="eastAsia" w:ascii="方正小标宋_GBK" w:hAnsi="方正小标宋_GBK" w:eastAsia="方正小标宋_GBK" w:cs="方正小标宋_GBK"/>
          <w:b w:val="0"/>
          <w:bCs/>
          <w:kern w:val="44"/>
          <w:sz w:val="44"/>
          <w:szCs w:val="36"/>
          <w:highlight w:val="none"/>
          <w:lang w:val="en-US" w:eastAsia="zh-CN" w:bidi="ar-SA"/>
        </w:rPr>
        <w:t>项目</w:t>
      </w:r>
      <w:bookmarkEnd w:id="0"/>
      <w:r>
        <w:rPr>
          <w:rFonts w:hint="eastAsia" w:ascii="方正小标宋_GBK" w:hAnsi="方正小标宋_GBK" w:eastAsia="方正小标宋_GBK" w:cs="方正小标宋_GBK"/>
          <w:b w:val="0"/>
          <w:bCs/>
          <w:kern w:val="44"/>
          <w:sz w:val="44"/>
          <w:szCs w:val="36"/>
          <w:highlight w:val="none"/>
          <w:lang w:val="en-US" w:eastAsia="zh-CN" w:bidi="ar-SA"/>
        </w:rPr>
        <w:t>采购需求</w:t>
      </w:r>
    </w:p>
    <w:p w14:paraId="531AE489">
      <w:pPr>
        <w:shd w:val="clear" w:color="auto" w:fill="FFFFFF"/>
        <w:tabs>
          <w:tab w:val="left" w:pos="720"/>
          <w:tab w:val="left" w:pos="900"/>
        </w:tabs>
        <w:snapToGrid w:val="0"/>
        <w:spacing w:line="560" w:lineRule="exact"/>
        <w:ind w:firstLine="640" w:firstLineChars="200"/>
        <w:rPr>
          <w:rFonts w:hint="eastAsia" w:ascii="Times New Roman" w:hAnsi="Times New Roman" w:eastAsia="黑体" w:cs="Times New Roman"/>
          <w:color w:val="auto"/>
          <w:sz w:val="32"/>
          <w:szCs w:val="32"/>
          <w:highlight w:val="none"/>
          <w:shd w:val="clear" w:color="auto" w:fill="FFFFFF"/>
          <w:lang w:val="en-US" w:eastAsia="zh-CN"/>
        </w:rPr>
      </w:pPr>
      <w:bookmarkStart w:id="1" w:name="_GoBack"/>
      <w:bookmarkEnd w:id="1"/>
      <w:r>
        <w:rPr>
          <w:rFonts w:ascii="Times New Roman" w:hAnsi="Times New Roman" w:eastAsia="黑体" w:cs="Times New Roman"/>
          <w:color w:val="auto"/>
          <w:sz w:val="32"/>
          <w:szCs w:val="32"/>
          <w:highlight w:val="none"/>
          <w:shd w:val="clear" w:color="auto" w:fill="FFFFFF"/>
        </w:rPr>
        <w:t>一、比选项目</w:t>
      </w:r>
      <w:r>
        <w:rPr>
          <w:rFonts w:hint="eastAsia" w:ascii="Times New Roman" w:hAnsi="Times New Roman" w:eastAsia="黑体" w:cs="Times New Roman"/>
          <w:color w:val="auto"/>
          <w:sz w:val="32"/>
          <w:szCs w:val="32"/>
          <w:highlight w:val="none"/>
          <w:shd w:val="clear" w:color="auto" w:fill="FFFFFF"/>
          <w:lang w:val="en-US" w:eastAsia="zh-CN"/>
        </w:rPr>
        <w:t>内容</w:t>
      </w:r>
    </w:p>
    <w:p w14:paraId="484F8731">
      <w:pPr>
        <w:shd w:val="clear" w:color="auto" w:fill="FFFFFF"/>
        <w:tabs>
          <w:tab w:val="left" w:pos="720"/>
          <w:tab w:val="left" w:pos="900"/>
        </w:tabs>
        <w:adjustRightInd w:val="0"/>
        <w:snapToGrid w:val="0"/>
        <w:spacing w:line="560" w:lineRule="exact"/>
        <w:ind w:firstLine="640" w:firstLineChars="200"/>
        <w:rPr>
          <w:rFonts w:hint="eastAsia" w:ascii="仿宋_GB2312" w:hAnsi="仿宋_GB2312" w:eastAsia="仿宋_GB2312" w:cs="仿宋_GB2312"/>
          <w:color w:val="auto"/>
          <w:sz w:val="32"/>
          <w:szCs w:val="32"/>
          <w:highlight w:val="none"/>
          <w:shd w:val="clear" w:color="auto" w:fill="FFFFFF"/>
          <w:lang w:val="en-US" w:eastAsia="zh-CN"/>
        </w:rPr>
      </w:pPr>
      <w:r>
        <w:rPr>
          <w:rFonts w:hint="default" w:ascii="Times New Roman" w:hAnsi="Times New Roman" w:eastAsia="仿宋_GB2312" w:cs="Times New Roman"/>
          <w:color w:val="auto"/>
          <w:sz w:val="32"/>
          <w:szCs w:val="32"/>
          <w:highlight w:val="none"/>
          <w:shd w:val="clear" w:color="auto" w:fill="FFFFFF"/>
        </w:rPr>
        <w:t>本次采购</w:t>
      </w:r>
      <w:r>
        <w:rPr>
          <w:rFonts w:hint="default" w:ascii="Times New Roman" w:hAnsi="Times New Roman" w:eastAsia="仿宋_GB2312" w:cs="Times New Roman"/>
          <w:color w:val="auto"/>
          <w:sz w:val="32"/>
          <w:szCs w:val="32"/>
          <w:highlight w:val="none"/>
          <w:u w:val="none"/>
          <w:shd w:val="clear" w:color="auto" w:fill="FFFFFF"/>
        </w:rPr>
        <w:t>共1个项目</w:t>
      </w:r>
      <w:r>
        <w:rPr>
          <w:rFonts w:hint="eastAsia" w:ascii="仿宋_GB2312" w:hAnsi="仿宋_GB2312" w:eastAsia="仿宋_GB2312" w:cs="仿宋_GB2312"/>
          <w:color w:val="auto"/>
          <w:sz w:val="32"/>
          <w:szCs w:val="32"/>
          <w:highlight w:val="none"/>
          <w:shd w:val="clear" w:color="auto" w:fill="FFFFFF"/>
          <w:lang w:val="en-US" w:eastAsia="zh-CN"/>
        </w:rPr>
        <w:t>，采购</w:t>
      </w:r>
      <w:r>
        <w:rPr>
          <w:rFonts w:hint="eastAsia" w:ascii="Times New Roman" w:hAnsi="Times New Roman" w:eastAsia="仿宋_GB2312" w:cs="Times New Roman"/>
          <w:color w:val="auto"/>
          <w:sz w:val="32"/>
          <w:szCs w:val="32"/>
          <w:highlight w:val="none"/>
          <w:shd w:val="clear" w:color="auto" w:fill="FFFFFF"/>
          <w:lang w:eastAsia="zh-CN"/>
        </w:rPr>
        <w:t>QGP1细胞机械诱发及中药干预功能实验项目配套试剂</w:t>
      </w:r>
      <w:r>
        <w:rPr>
          <w:rFonts w:hint="eastAsia" w:ascii="仿宋_GB2312" w:hAnsi="仿宋_GB2312" w:eastAsia="仿宋_GB2312" w:cs="仿宋_GB2312"/>
          <w:color w:val="auto"/>
          <w:sz w:val="32"/>
          <w:szCs w:val="32"/>
          <w:highlight w:val="none"/>
          <w:shd w:val="clear" w:color="auto" w:fill="FFFFFF"/>
          <w:lang w:val="en-US" w:eastAsia="zh-CN"/>
        </w:rPr>
        <w:t>，预算金额4.9239万元。</w:t>
      </w:r>
    </w:p>
    <w:tbl>
      <w:tblPr>
        <w:tblStyle w:val="4"/>
        <w:tblW w:w="90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9"/>
        <w:gridCol w:w="3551"/>
        <w:gridCol w:w="1680"/>
        <w:gridCol w:w="2539"/>
      </w:tblGrid>
      <w:tr w14:paraId="472CD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239" w:type="dxa"/>
            <w:noWrap w:val="0"/>
            <w:vAlign w:val="center"/>
          </w:tcPr>
          <w:p w14:paraId="06042003">
            <w:pPr>
              <w:shd w:val="clear" w:color="auto" w:fill="FFFFFF"/>
              <w:tabs>
                <w:tab w:val="left" w:pos="720"/>
              </w:tabs>
              <w:snapToGrid w:val="0"/>
              <w:spacing w:line="400" w:lineRule="exact"/>
              <w:jc w:val="center"/>
              <w:rPr>
                <w:rFonts w:ascii="Times New Roman" w:hAnsi="Times New Roman" w:eastAsia="仿宋_GB2312" w:cs="Times New Roman"/>
                <w:b/>
                <w:color w:val="auto"/>
                <w:sz w:val="28"/>
                <w:szCs w:val="28"/>
                <w:highlight w:val="none"/>
                <w:shd w:val="clear" w:color="auto" w:fill="FFFFFF"/>
              </w:rPr>
            </w:pPr>
            <w:r>
              <w:rPr>
                <w:rFonts w:hint="eastAsia" w:ascii="Times New Roman" w:hAnsi="Times New Roman" w:eastAsia="仿宋_GB2312" w:cs="Times New Roman"/>
                <w:b/>
                <w:color w:val="auto"/>
                <w:sz w:val="28"/>
                <w:szCs w:val="28"/>
                <w:highlight w:val="none"/>
                <w:shd w:val="clear" w:color="auto" w:fill="FFFFFF"/>
                <w:lang w:val="en-US" w:eastAsia="zh-CN"/>
              </w:rPr>
              <w:t>项目号</w:t>
            </w:r>
          </w:p>
        </w:tc>
        <w:tc>
          <w:tcPr>
            <w:tcW w:w="3551" w:type="dxa"/>
            <w:noWrap w:val="0"/>
            <w:vAlign w:val="center"/>
          </w:tcPr>
          <w:p w14:paraId="58ABC8C7">
            <w:pPr>
              <w:shd w:val="clear" w:color="auto" w:fill="FFFFFF"/>
              <w:tabs>
                <w:tab w:val="left" w:pos="720"/>
              </w:tabs>
              <w:snapToGrid w:val="0"/>
              <w:spacing w:line="400" w:lineRule="exact"/>
              <w:jc w:val="center"/>
              <w:rPr>
                <w:rFonts w:ascii="Times New Roman" w:hAnsi="Times New Roman" w:eastAsia="仿宋_GB2312" w:cs="Times New Roman"/>
                <w:b/>
                <w:color w:val="auto"/>
                <w:sz w:val="28"/>
                <w:szCs w:val="28"/>
                <w:highlight w:val="none"/>
                <w:shd w:val="clear" w:color="auto" w:fill="FFFFFF"/>
              </w:rPr>
            </w:pPr>
            <w:r>
              <w:rPr>
                <w:rFonts w:hint="eastAsia" w:ascii="Times New Roman" w:hAnsi="Times New Roman" w:eastAsia="仿宋_GB2312" w:cs="Times New Roman"/>
                <w:b/>
                <w:color w:val="auto"/>
                <w:sz w:val="28"/>
                <w:szCs w:val="28"/>
                <w:highlight w:val="none"/>
                <w:shd w:val="clear" w:color="auto" w:fill="FFFFFF"/>
              </w:rPr>
              <w:t>标的</w:t>
            </w:r>
            <w:r>
              <w:rPr>
                <w:rFonts w:ascii="Times New Roman" w:hAnsi="Times New Roman" w:eastAsia="仿宋_GB2312" w:cs="Times New Roman"/>
                <w:b/>
                <w:color w:val="auto"/>
                <w:sz w:val="28"/>
                <w:szCs w:val="28"/>
                <w:highlight w:val="none"/>
                <w:shd w:val="clear" w:color="auto" w:fill="FFFFFF"/>
              </w:rPr>
              <w:t>名称</w:t>
            </w:r>
          </w:p>
        </w:tc>
        <w:tc>
          <w:tcPr>
            <w:tcW w:w="1680" w:type="dxa"/>
            <w:noWrap w:val="0"/>
            <w:vAlign w:val="center"/>
          </w:tcPr>
          <w:p w14:paraId="37D596E0">
            <w:pPr>
              <w:shd w:val="clear" w:color="auto" w:fill="FFFFFF"/>
              <w:tabs>
                <w:tab w:val="left" w:pos="720"/>
              </w:tabs>
              <w:snapToGrid w:val="0"/>
              <w:spacing w:line="400" w:lineRule="exact"/>
              <w:jc w:val="center"/>
              <w:rPr>
                <w:rFonts w:ascii="Times New Roman" w:hAnsi="Times New Roman" w:eastAsia="仿宋_GB2312" w:cs="Times New Roman"/>
                <w:b/>
                <w:color w:val="auto"/>
                <w:sz w:val="28"/>
                <w:szCs w:val="28"/>
                <w:highlight w:val="none"/>
                <w:shd w:val="clear" w:color="auto" w:fill="FFFFFF"/>
              </w:rPr>
            </w:pPr>
            <w:r>
              <w:rPr>
                <w:rFonts w:ascii="Times New Roman" w:hAnsi="Times New Roman" w:eastAsia="仿宋_GB2312" w:cs="Times New Roman"/>
                <w:b/>
                <w:color w:val="auto"/>
                <w:sz w:val="28"/>
                <w:szCs w:val="28"/>
                <w:highlight w:val="none"/>
                <w:shd w:val="clear" w:color="auto" w:fill="FFFFFF"/>
              </w:rPr>
              <w:t>数量</w:t>
            </w:r>
            <w:r>
              <w:rPr>
                <w:rFonts w:hint="eastAsia" w:ascii="Times New Roman" w:hAnsi="Times New Roman" w:eastAsia="仿宋_GB2312" w:cs="Times New Roman"/>
                <w:b/>
                <w:color w:val="auto"/>
                <w:sz w:val="28"/>
                <w:szCs w:val="28"/>
                <w:highlight w:val="none"/>
                <w:shd w:val="clear" w:color="auto" w:fill="FFFFFF"/>
              </w:rPr>
              <w:t>（</w:t>
            </w:r>
            <w:r>
              <w:rPr>
                <w:rFonts w:hint="eastAsia" w:ascii="Times New Roman" w:hAnsi="Times New Roman" w:eastAsia="仿宋_GB2312" w:cs="Times New Roman"/>
                <w:b/>
                <w:color w:val="auto"/>
                <w:sz w:val="28"/>
                <w:szCs w:val="28"/>
                <w:highlight w:val="none"/>
                <w:shd w:val="clear" w:color="auto" w:fill="FFFFFF"/>
                <w:lang w:val="en-US" w:eastAsia="zh-CN"/>
              </w:rPr>
              <w:t>项</w:t>
            </w:r>
            <w:r>
              <w:rPr>
                <w:rFonts w:hint="eastAsia" w:ascii="Times New Roman" w:hAnsi="Times New Roman" w:eastAsia="仿宋_GB2312" w:cs="Times New Roman"/>
                <w:b/>
                <w:color w:val="auto"/>
                <w:sz w:val="28"/>
                <w:szCs w:val="28"/>
                <w:highlight w:val="none"/>
                <w:shd w:val="clear" w:color="auto" w:fill="FFFFFF"/>
              </w:rPr>
              <w:t>）</w:t>
            </w:r>
          </w:p>
        </w:tc>
        <w:tc>
          <w:tcPr>
            <w:tcW w:w="2539" w:type="dxa"/>
            <w:noWrap w:val="0"/>
            <w:vAlign w:val="center"/>
          </w:tcPr>
          <w:p w14:paraId="0BA9D9A3">
            <w:pPr>
              <w:shd w:val="clear" w:color="auto" w:fill="FFFFFF"/>
              <w:tabs>
                <w:tab w:val="left" w:pos="720"/>
              </w:tabs>
              <w:snapToGrid w:val="0"/>
              <w:spacing w:line="400" w:lineRule="exact"/>
              <w:jc w:val="center"/>
              <w:rPr>
                <w:rFonts w:hint="default" w:ascii="Times New Roman" w:hAnsi="Times New Roman" w:eastAsia="仿宋_GB2312" w:cs="Times New Roman"/>
                <w:b/>
                <w:color w:val="auto"/>
                <w:sz w:val="28"/>
                <w:szCs w:val="28"/>
                <w:highlight w:val="none"/>
                <w:shd w:val="clear" w:color="auto" w:fill="FFFFFF"/>
                <w:lang w:val="en-US" w:eastAsia="zh-CN"/>
              </w:rPr>
            </w:pPr>
            <w:r>
              <w:rPr>
                <w:rFonts w:hint="eastAsia" w:ascii="Times New Roman" w:hAnsi="Times New Roman" w:eastAsia="仿宋_GB2312" w:cs="Times New Roman"/>
                <w:b/>
                <w:color w:val="auto"/>
                <w:sz w:val="28"/>
                <w:szCs w:val="28"/>
                <w:highlight w:val="none"/>
                <w:shd w:val="clear" w:color="auto" w:fill="FFFFFF"/>
                <w:lang w:val="en-US" w:eastAsia="zh-CN"/>
              </w:rPr>
              <w:t>预算金额（万元）</w:t>
            </w:r>
          </w:p>
        </w:tc>
      </w:tr>
      <w:tr w14:paraId="0EC19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239" w:type="dxa"/>
            <w:noWrap w:val="0"/>
            <w:vAlign w:val="center"/>
          </w:tcPr>
          <w:p w14:paraId="550CF7AD">
            <w:pPr>
              <w:shd w:val="clear" w:color="auto" w:fill="FFFFFF"/>
              <w:tabs>
                <w:tab w:val="left" w:pos="720"/>
              </w:tabs>
              <w:snapToGrid w:val="0"/>
              <w:spacing w:line="400" w:lineRule="exact"/>
              <w:jc w:val="center"/>
              <w:rPr>
                <w:rFonts w:hint="eastAsia" w:ascii="Times New Roman" w:hAnsi="Times New Roman" w:eastAsia="仿宋_GB2312" w:cs="Times New Roman"/>
                <w:color w:val="auto"/>
                <w:sz w:val="28"/>
                <w:szCs w:val="28"/>
                <w:highlight w:val="none"/>
                <w:shd w:val="clear" w:color="auto" w:fill="FFFFFF"/>
                <w:lang w:val="en-US" w:eastAsia="zh-CN"/>
              </w:rPr>
            </w:pPr>
            <w:r>
              <w:rPr>
                <w:rFonts w:hint="eastAsia" w:ascii="Times New Roman" w:hAnsi="Times New Roman" w:eastAsia="仿宋_GB2312" w:cs="Times New Roman"/>
                <w:color w:val="auto"/>
                <w:sz w:val="28"/>
                <w:szCs w:val="28"/>
                <w:highlight w:val="none"/>
                <w:shd w:val="clear" w:color="auto" w:fill="FFFFFF"/>
                <w:lang w:val="en-US" w:eastAsia="zh-CN"/>
              </w:rPr>
              <w:t>1</w:t>
            </w:r>
          </w:p>
        </w:tc>
        <w:tc>
          <w:tcPr>
            <w:tcW w:w="3551" w:type="dxa"/>
            <w:noWrap w:val="0"/>
            <w:vAlign w:val="center"/>
          </w:tcPr>
          <w:p w14:paraId="546552F7">
            <w:pPr>
              <w:shd w:val="clear" w:color="auto" w:fill="FFFFFF"/>
              <w:tabs>
                <w:tab w:val="left" w:pos="720"/>
              </w:tabs>
              <w:snapToGrid w:val="0"/>
              <w:spacing w:line="400" w:lineRule="exact"/>
              <w:jc w:val="center"/>
              <w:rPr>
                <w:rFonts w:hint="eastAsia" w:ascii="Times New Roman" w:hAnsi="Times New Roman" w:eastAsia="仿宋_GB2312" w:cs="Times New Roman"/>
                <w:color w:val="auto"/>
                <w:sz w:val="28"/>
                <w:szCs w:val="28"/>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lang w:eastAsia="zh-CN"/>
              </w:rPr>
              <w:t>QGP1细胞机械诱发及中药干预功能实验项目配套试剂采购</w:t>
            </w:r>
          </w:p>
        </w:tc>
        <w:tc>
          <w:tcPr>
            <w:tcW w:w="1680" w:type="dxa"/>
            <w:noWrap w:val="0"/>
            <w:vAlign w:val="center"/>
          </w:tcPr>
          <w:p w14:paraId="607C3199">
            <w:pPr>
              <w:shd w:val="clear" w:color="auto" w:fill="FFFFFF"/>
              <w:tabs>
                <w:tab w:val="left" w:pos="720"/>
              </w:tabs>
              <w:snapToGrid w:val="0"/>
              <w:spacing w:line="400" w:lineRule="exact"/>
              <w:jc w:val="center"/>
              <w:rPr>
                <w:rFonts w:hint="default" w:ascii="仿宋_GB2312" w:hAnsi="Times New Roman" w:eastAsia="仿宋_GB2312" w:cs="仿宋_GB2312"/>
                <w:color w:val="auto"/>
                <w:sz w:val="36"/>
                <w:szCs w:val="36"/>
                <w:highlight w:val="none"/>
                <w:lang w:val="en-US" w:eastAsia="zh-CN"/>
              </w:rPr>
            </w:pPr>
            <w:r>
              <w:rPr>
                <w:rFonts w:hint="eastAsia" w:ascii="Times New Roman" w:hAnsi="Times New Roman" w:eastAsia="仿宋_GB2312" w:cs="Times New Roman"/>
                <w:color w:val="auto"/>
                <w:sz w:val="28"/>
                <w:szCs w:val="28"/>
                <w:highlight w:val="none"/>
                <w:shd w:val="clear" w:color="auto" w:fill="FFFFFF"/>
                <w:lang w:val="en-US" w:eastAsia="zh-CN"/>
              </w:rPr>
              <w:t>1</w:t>
            </w:r>
          </w:p>
        </w:tc>
        <w:tc>
          <w:tcPr>
            <w:tcW w:w="2539" w:type="dxa"/>
            <w:noWrap w:val="0"/>
            <w:vAlign w:val="center"/>
          </w:tcPr>
          <w:p w14:paraId="71F7A020">
            <w:pPr>
              <w:jc w:val="center"/>
              <w:rPr>
                <w:rFonts w:hint="default" w:ascii="Times New Roman" w:hAnsi="Times New Roman" w:eastAsia="仿宋_GB2312" w:cs="Times New Roman"/>
                <w:color w:val="auto"/>
                <w:sz w:val="28"/>
                <w:szCs w:val="28"/>
                <w:highlight w:val="none"/>
                <w:shd w:val="clear" w:color="auto" w:fill="FFFFFF"/>
                <w:lang w:val="en-US" w:eastAsia="zh-CN"/>
              </w:rPr>
            </w:pPr>
            <w:r>
              <w:rPr>
                <w:rFonts w:hint="eastAsia" w:ascii="Times New Roman" w:hAnsi="Times New Roman" w:eastAsia="仿宋_GB2312" w:cs="Times New Roman"/>
                <w:color w:val="auto"/>
                <w:sz w:val="28"/>
                <w:szCs w:val="28"/>
                <w:highlight w:val="none"/>
                <w:shd w:val="clear" w:color="auto" w:fill="FFFFFF"/>
                <w:lang w:val="en-US" w:eastAsia="zh-CN"/>
              </w:rPr>
              <w:t>4.9239</w:t>
            </w:r>
          </w:p>
        </w:tc>
      </w:tr>
    </w:tbl>
    <w:p w14:paraId="56D77E05">
      <w:pPr>
        <w:shd w:val="clear" w:color="auto" w:fill="FFFFFF"/>
        <w:tabs>
          <w:tab w:val="left" w:pos="720"/>
          <w:tab w:val="left" w:pos="900"/>
        </w:tabs>
        <w:snapToGrid w:val="0"/>
        <w:spacing w:line="560" w:lineRule="exact"/>
        <w:ind w:firstLine="640" w:firstLineChars="200"/>
        <w:rPr>
          <w:rFonts w:ascii="Times New Roman" w:hAnsi="Times New Roman" w:eastAsia="黑体" w:cs="Times New Roman"/>
          <w:color w:val="auto"/>
          <w:sz w:val="32"/>
          <w:szCs w:val="32"/>
          <w:highlight w:val="none"/>
          <w:shd w:val="clear" w:color="auto" w:fill="FFFFFF"/>
        </w:rPr>
      </w:pPr>
      <w:r>
        <w:rPr>
          <w:rFonts w:hint="eastAsia" w:ascii="Times New Roman" w:hAnsi="Times New Roman" w:eastAsia="黑体" w:cs="Times New Roman"/>
          <w:color w:val="auto"/>
          <w:sz w:val="32"/>
          <w:szCs w:val="32"/>
          <w:highlight w:val="none"/>
          <w:shd w:val="clear" w:color="auto" w:fill="FFFFFF"/>
          <w:lang w:val="en-US" w:eastAsia="zh-CN"/>
        </w:rPr>
        <w:t>二</w:t>
      </w:r>
      <w:r>
        <w:rPr>
          <w:rFonts w:ascii="Times New Roman" w:hAnsi="Times New Roman" w:eastAsia="黑体" w:cs="Times New Roman"/>
          <w:color w:val="auto"/>
          <w:sz w:val="32"/>
          <w:szCs w:val="32"/>
          <w:highlight w:val="none"/>
          <w:shd w:val="clear" w:color="auto" w:fill="FFFFFF"/>
        </w:rPr>
        <w:t>、技术要求</w:t>
      </w:r>
    </w:p>
    <w:tbl>
      <w:tblPr>
        <w:tblStyle w:val="4"/>
        <w:tblW w:w="531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4"/>
        <w:gridCol w:w="1680"/>
        <w:gridCol w:w="1197"/>
        <w:gridCol w:w="583"/>
        <w:gridCol w:w="612"/>
        <w:gridCol w:w="816"/>
        <w:gridCol w:w="1004"/>
        <w:gridCol w:w="750"/>
        <w:gridCol w:w="1937"/>
      </w:tblGrid>
      <w:tr w14:paraId="40D2B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jc w:val="center"/>
        </w:trPr>
        <w:tc>
          <w:tcPr>
            <w:tcW w:w="261" w:type="pct"/>
            <w:tcBorders>
              <w:top w:val="single" w:color="000000" w:sz="4" w:space="0"/>
              <w:left w:val="single" w:color="000000" w:sz="4" w:space="0"/>
              <w:bottom w:val="single" w:color="000000" w:sz="4" w:space="0"/>
              <w:right w:val="single" w:color="000000" w:sz="4" w:space="0"/>
            </w:tcBorders>
            <w:noWrap w:val="0"/>
            <w:vAlign w:val="center"/>
          </w:tcPr>
          <w:p w14:paraId="74410FCD">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序号</w:t>
            </w:r>
          </w:p>
        </w:tc>
        <w:tc>
          <w:tcPr>
            <w:tcW w:w="928" w:type="pct"/>
            <w:tcBorders>
              <w:top w:val="single" w:color="000000" w:sz="4" w:space="0"/>
              <w:left w:val="single" w:color="000000" w:sz="4" w:space="0"/>
              <w:bottom w:val="single" w:color="000000" w:sz="4" w:space="0"/>
              <w:right w:val="single" w:color="000000" w:sz="4" w:space="0"/>
            </w:tcBorders>
            <w:noWrap w:val="0"/>
            <w:vAlign w:val="center"/>
          </w:tcPr>
          <w:p w14:paraId="509DE641">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产品名称</w:t>
            </w:r>
          </w:p>
        </w:tc>
        <w:tc>
          <w:tcPr>
            <w:tcW w:w="660" w:type="pct"/>
            <w:tcBorders>
              <w:top w:val="single" w:color="000000" w:sz="4" w:space="0"/>
              <w:left w:val="single" w:color="000000" w:sz="4" w:space="0"/>
              <w:bottom w:val="single" w:color="000000" w:sz="4" w:space="0"/>
              <w:right w:val="single" w:color="000000" w:sz="4" w:space="0"/>
            </w:tcBorders>
            <w:noWrap w:val="0"/>
            <w:vAlign w:val="center"/>
          </w:tcPr>
          <w:p w14:paraId="63FA48D7">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规格、型号</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14:paraId="13E0DBCC">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单位</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4231127A">
            <w:pPr>
              <w:keepNext w:val="0"/>
              <w:keepLines w:val="0"/>
              <w:widowControl/>
              <w:suppressLineNumbers w:val="0"/>
              <w:jc w:val="center"/>
              <w:textAlignment w:val="center"/>
              <w:rPr>
                <w:rFonts w:hint="eastAsia" w:ascii="仿宋_GB2312" w:hAnsi="仿宋_GB2312" w:eastAsia="仿宋_GB2312" w:cs="仿宋_GB2312"/>
                <w:b/>
                <w:bCs/>
                <w:i w:val="0"/>
                <w:iCs w:val="0"/>
                <w:color w:val="auto"/>
                <w:kern w:val="0"/>
                <w:sz w:val="24"/>
                <w:szCs w:val="24"/>
                <w:highlight w:val="none"/>
                <w:u w:val="none"/>
                <w:lang w:val="en-US" w:eastAsia="zh-CN" w:bidi="ar"/>
              </w:rPr>
            </w:pPr>
            <w:r>
              <w:rPr>
                <w:rFonts w:hint="eastAsia" w:ascii="仿宋_GB2312" w:hAnsi="仿宋_GB2312" w:eastAsia="仿宋_GB2312" w:cs="仿宋_GB2312"/>
                <w:b/>
                <w:bCs/>
                <w:i w:val="0"/>
                <w:iCs w:val="0"/>
                <w:color w:val="auto"/>
                <w:kern w:val="0"/>
                <w:sz w:val="24"/>
                <w:szCs w:val="24"/>
                <w:highlight w:val="none"/>
                <w:u w:val="none"/>
                <w:lang w:val="en-US" w:eastAsia="zh-CN" w:bidi="ar"/>
              </w:rPr>
              <w:t>数量</w:t>
            </w:r>
          </w:p>
        </w:tc>
        <w:tc>
          <w:tcPr>
            <w:tcW w:w="450" w:type="pct"/>
            <w:tcBorders>
              <w:top w:val="single" w:color="000000" w:sz="4" w:space="0"/>
              <w:left w:val="single" w:color="000000" w:sz="4" w:space="0"/>
              <w:bottom w:val="single" w:color="000000" w:sz="4" w:space="0"/>
              <w:right w:val="single" w:color="000000" w:sz="4" w:space="0"/>
            </w:tcBorders>
            <w:noWrap w:val="0"/>
            <w:vAlign w:val="center"/>
          </w:tcPr>
          <w:p w14:paraId="69305BD3">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单价最高限价（元）</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002DB86F">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比选当天是否需要商家提供样品</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B058CA0">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是否要求挂网</w:t>
            </w:r>
          </w:p>
        </w:tc>
        <w:tc>
          <w:tcPr>
            <w:tcW w:w="1070" w:type="pct"/>
            <w:tcBorders>
              <w:top w:val="single" w:color="000000" w:sz="4" w:space="0"/>
              <w:left w:val="single" w:color="000000" w:sz="4" w:space="0"/>
              <w:bottom w:val="single" w:color="000000" w:sz="4" w:space="0"/>
              <w:right w:val="single" w:color="000000" w:sz="4" w:space="0"/>
            </w:tcBorders>
            <w:noWrap w:val="0"/>
            <w:vAlign w:val="center"/>
          </w:tcPr>
          <w:p w14:paraId="5AF650D1">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highlight w:val="none"/>
                <w:u w:val="none"/>
              </w:rPr>
            </w:pPr>
            <w:r>
              <w:rPr>
                <w:rFonts w:hint="eastAsia" w:ascii="仿宋_GB2312" w:hAnsi="仿宋_GB2312" w:eastAsia="仿宋_GB2312" w:cs="仿宋_GB2312"/>
                <w:b/>
                <w:bCs/>
                <w:i w:val="0"/>
                <w:iCs w:val="0"/>
                <w:color w:val="auto"/>
                <w:kern w:val="0"/>
                <w:sz w:val="24"/>
                <w:szCs w:val="24"/>
                <w:highlight w:val="none"/>
                <w:u w:val="none"/>
                <w:lang w:val="en-US" w:eastAsia="zh-CN" w:bidi="ar"/>
              </w:rPr>
              <w:t>需求参数</w:t>
            </w:r>
          </w:p>
        </w:tc>
      </w:tr>
      <w:tr w14:paraId="4E44A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3F2F558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928" w:type="pct"/>
            <w:tcBorders>
              <w:top w:val="single" w:color="000000" w:sz="4" w:space="0"/>
              <w:left w:val="single" w:color="000000" w:sz="4" w:space="0"/>
              <w:bottom w:val="single" w:color="000000" w:sz="4" w:space="0"/>
              <w:right w:val="single" w:color="000000" w:sz="4" w:space="0"/>
            </w:tcBorders>
            <w:noWrap w:val="0"/>
            <w:vAlign w:val="center"/>
          </w:tcPr>
          <w:p w14:paraId="428E6B9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细胞冻存液</w:t>
            </w:r>
          </w:p>
        </w:tc>
        <w:tc>
          <w:tcPr>
            <w:tcW w:w="660" w:type="pct"/>
            <w:tcBorders>
              <w:top w:val="single" w:color="000000" w:sz="4" w:space="0"/>
              <w:left w:val="single" w:color="000000" w:sz="4" w:space="0"/>
              <w:bottom w:val="single" w:color="000000" w:sz="4" w:space="0"/>
              <w:right w:val="single" w:color="000000" w:sz="4" w:space="0"/>
            </w:tcBorders>
            <w:noWrap w:val="0"/>
            <w:vAlign w:val="center"/>
          </w:tcPr>
          <w:p w14:paraId="6C27AB4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50 mL</w:t>
            </w:r>
          </w:p>
        </w:tc>
        <w:tc>
          <w:tcPr>
            <w:tcW w:w="321" w:type="pct"/>
            <w:tcBorders>
              <w:top w:val="single" w:color="000000" w:sz="4" w:space="0"/>
              <w:left w:val="single" w:color="000000" w:sz="4" w:space="0"/>
              <w:bottom w:val="single" w:color="000000" w:sz="4" w:space="0"/>
              <w:right w:val="single" w:color="000000" w:sz="4" w:space="0"/>
            </w:tcBorders>
            <w:noWrap/>
            <w:vAlign w:val="center"/>
          </w:tcPr>
          <w:p w14:paraId="7B6EBB5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40A522D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noWrap/>
            <w:vAlign w:val="center"/>
          </w:tcPr>
          <w:p w14:paraId="1827AFC7">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3255</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5447EB8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4EF4FFD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1070" w:type="pct"/>
            <w:tcBorders>
              <w:top w:val="single" w:color="000000" w:sz="4" w:space="0"/>
              <w:left w:val="single" w:color="000000" w:sz="4" w:space="0"/>
              <w:bottom w:val="single" w:color="000000" w:sz="4" w:space="0"/>
              <w:right w:val="single" w:color="000000" w:sz="4" w:space="0"/>
            </w:tcBorders>
            <w:noWrap w:val="0"/>
            <w:vAlign w:val="bottom"/>
          </w:tcPr>
          <w:p w14:paraId="57A76A4C">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满足《QGP1细胞机械诱发及中药干预功能实验》所需求科研类试剂要求。</w:t>
            </w:r>
          </w:p>
        </w:tc>
      </w:tr>
      <w:tr w14:paraId="679BF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5798231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928" w:type="pct"/>
            <w:tcBorders>
              <w:top w:val="single" w:color="000000" w:sz="4" w:space="0"/>
              <w:left w:val="single" w:color="000000" w:sz="4" w:space="0"/>
              <w:bottom w:val="single" w:color="000000" w:sz="4" w:space="0"/>
              <w:right w:val="single" w:color="000000" w:sz="4" w:space="0"/>
            </w:tcBorders>
            <w:noWrap w:val="0"/>
            <w:vAlign w:val="center"/>
          </w:tcPr>
          <w:p w14:paraId="700902A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I型胶原蛋白（大鼠尾）</w:t>
            </w:r>
          </w:p>
        </w:tc>
        <w:tc>
          <w:tcPr>
            <w:tcW w:w="660" w:type="pct"/>
            <w:tcBorders>
              <w:top w:val="single" w:color="000000" w:sz="4" w:space="0"/>
              <w:left w:val="single" w:color="000000" w:sz="4" w:space="0"/>
              <w:bottom w:val="single" w:color="000000" w:sz="4" w:space="0"/>
              <w:right w:val="single" w:color="000000" w:sz="4" w:space="0"/>
            </w:tcBorders>
            <w:noWrap w:val="0"/>
            <w:vAlign w:val="center"/>
          </w:tcPr>
          <w:p w14:paraId="6EFF4B3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100 mg</w:t>
            </w:r>
          </w:p>
        </w:tc>
        <w:tc>
          <w:tcPr>
            <w:tcW w:w="321" w:type="pct"/>
            <w:tcBorders>
              <w:top w:val="single" w:color="000000" w:sz="4" w:space="0"/>
              <w:left w:val="single" w:color="000000" w:sz="4" w:space="0"/>
              <w:bottom w:val="single" w:color="000000" w:sz="4" w:space="0"/>
              <w:right w:val="single" w:color="000000" w:sz="4" w:space="0"/>
            </w:tcBorders>
            <w:noWrap/>
            <w:vAlign w:val="center"/>
          </w:tcPr>
          <w:p w14:paraId="33F980F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2D1BF97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noWrap/>
            <w:vAlign w:val="center"/>
          </w:tcPr>
          <w:p w14:paraId="59521CA4">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4023</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5DEBB40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5FDCF0E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1070" w:type="pct"/>
            <w:tcBorders>
              <w:top w:val="single" w:color="000000" w:sz="4" w:space="0"/>
              <w:left w:val="single" w:color="000000" w:sz="4" w:space="0"/>
              <w:bottom w:val="single" w:color="000000" w:sz="4" w:space="0"/>
              <w:right w:val="single" w:color="000000" w:sz="4" w:space="0"/>
            </w:tcBorders>
            <w:noWrap w:val="0"/>
            <w:vAlign w:val="bottom"/>
          </w:tcPr>
          <w:p w14:paraId="6F27355F">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满足《QGP1细胞机械诱发及中药干预功能实验》所需求科研类试剂要求。</w:t>
            </w:r>
          </w:p>
        </w:tc>
      </w:tr>
      <w:tr w14:paraId="18457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3BBF854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928" w:type="pct"/>
            <w:tcBorders>
              <w:top w:val="single" w:color="000000" w:sz="4" w:space="0"/>
              <w:left w:val="single" w:color="000000" w:sz="4" w:space="0"/>
              <w:bottom w:val="single" w:color="000000" w:sz="4" w:space="0"/>
              <w:right w:val="single" w:color="000000" w:sz="4" w:space="0"/>
            </w:tcBorders>
            <w:noWrap w:val="0"/>
            <w:vAlign w:val="center"/>
          </w:tcPr>
          <w:p w14:paraId="7F496166">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HEPES 缓冲液 (1M)</w:t>
            </w:r>
          </w:p>
        </w:tc>
        <w:tc>
          <w:tcPr>
            <w:tcW w:w="660" w:type="pct"/>
            <w:tcBorders>
              <w:top w:val="single" w:color="000000" w:sz="4" w:space="0"/>
              <w:left w:val="single" w:color="000000" w:sz="4" w:space="0"/>
              <w:bottom w:val="single" w:color="000000" w:sz="4" w:space="0"/>
              <w:right w:val="single" w:color="000000" w:sz="4" w:space="0"/>
            </w:tcBorders>
            <w:noWrap w:val="0"/>
            <w:vAlign w:val="center"/>
          </w:tcPr>
          <w:p w14:paraId="4079B24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100 mL</w:t>
            </w:r>
          </w:p>
        </w:tc>
        <w:tc>
          <w:tcPr>
            <w:tcW w:w="321" w:type="pct"/>
            <w:tcBorders>
              <w:top w:val="single" w:color="000000" w:sz="4" w:space="0"/>
              <w:left w:val="single" w:color="000000" w:sz="4" w:space="0"/>
              <w:bottom w:val="single" w:color="000000" w:sz="4" w:space="0"/>
              <w:right w:val="single" w:color="000000" w:sz="4" w:space="0"/>
            </w:tcBorders>
            <w:noWrap/>
            <w:vAlign w:val="center"/>
          </w:tcPr>
          <w:p w14:paraId="71F0AA0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18A5330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noWrap w:val="0"/>
            <w:vAlign w:val="center"/>
          </w:tcPr>
          <w:p w14:paraId="14570CC8">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1151</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5F957F9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43553D9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1070" w:type="pct"/>
            <w:tcBorders>
              <w:top w:val="single" w:color="000000" w:sz="4" w:space="0"/>
              <w:left w:val="single" w:color="000000" w:sz="4" w:space="0"/>
              <w:bottom w:val="single" w:color="000000" w:sz="4" w:space="0"/>
              <w:right w:val="single" w:color="000000" w:sz="4" w:space="0"/>
            </w:tcBorders>
            <w:noWrap w:val="0"/>
            <w:vAlign w:val="bottom"/>
          </w:tcPr>
          <w:p w14:paraId="7256EF68">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满足《QGP1细胞机械诱发及中药干预功能实验》所需求科研类试剂要求。</w:t>
            </w:r>
          </w:p>
        </w:tc>
      </w:tr>
      <w:tr w14:paraId="3839D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69A3877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928" w:type="pct"/>
            <w:tcBorders>
              <w:top w:val="single" w:color="000000" w:sz="4" w:space="0"/>
              <w:left w:val="single" w:color="000000" w:sz="4" w:space="0"/>
              <w:bottom w:val="single" w:color="000000" w:sz="4" w:space="0"/>
              <w:right w:val="single" w:color="000000" w:sz="4" w:space="0"/>
            </w:tcBorders>
            <w:noWrap w:val="0"/>
            <w:vAlign w:val="center"/>
          </w:tcPr>
          <w:p w14:paraId="1CD4BBB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Fluo-4 钙成像试剂盒</w:t>
            </w:r>
          </w:p>
        </w:tc>
        <w:tc>
          <w:tcPr>
            <w:tcW w:w="660" w:type="pct"/>
            <w:tcBorders>
              <w:top w:val="single" w:color="000000" w:sz="4" w:space="0"/>
              <w:left w:val="single" w:color="000000" w:sz="4" w:space="0"/>
              <w:bottom w:val="single" w:color="000000" w:sz="4" w:space="0"/>
              <w:right w:val="single" w:color="000000" w:sz="4" w:space="0"/>
            </w:tcBorders>
            <w:noWrap w:val="0"/>
            <w:vAlign w:val="center"/>
          </w:tcPr>
          <w:p w14:paraId="028FE36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 kit</w:t>
            </w:r>
          </w:p>
        </w:tc>
        <w:tc>
          <w:tcPr>
            <w:tcW w:w="321" w:type="pct"/>
            <w:tcBorders>
              <w:top w:val="single" w:color="000000" w:sz="4" w:space="0"/>
              <w:left w:val="single" w:color="000000" w:sz="4" w:space="0"/>
              <w:bottom w:val="single" w:color="000000" w:sz="4" w:space="0"/>
              <w:right w:val="single" w:color="000000" w:sz="4" w:space="0"/>
            </w:tcBorders>
            <w:noWrap/>
            <w:vAlign w:val="center"/>
          </w:tcPr>
          <w:p w14:paraId="7EB9AAA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盒</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3B70ABD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450" w:type="pct"/>
            <w:tcBorders>
              <w:top w:val="single" w:color="000000" w:sz="4" w:space="0"/>
              <w:left w:val="single" w:color="000000" w:sz="4" w:space="0"/>
              <w:bottom w:val="single" w:color="000000" w:sz="4" w:space="0"/>
              <w:right w:val="single" w:color="000000" w:sz="4" w:space="0"/>
            </w:tcBorders>
            <w:noWrap/>
            <w:vAlign w:val="center"/>
          </w:tcPr>
          <w:p w14:paraId="679AF8E0">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5779</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4D43738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6705AEE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1070" w:type="pct"/>
            <w:tcBorders>
              <w:top w:val="single" w:color="000000" w:sz="4" w:space="0"/>
              <w:left w:val="single" w:color="000000" w:sz="4" w:space="0"/>
              <w:bottom w:val="single" w:color="000000" w:sz="4" w:space="0"/>
              <w:right w:val="single" w:color="000000" w:sz="4" w:space="0"/>
            </w:tcBorders>
            <w:noWrap w:val="0"/>
            <w:vAlign w:val="bottom"/>
          </w:tcPr>
          <w:p w14:paraId="39F1589A">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满足《QGP1细胞机械诱发及中药干预功能实验》所需求科研类试剂要求。</w:t>
            </w:r>
          </w:p>
        </w:tc>
      </w:tr>
      <w:tr w14:paraId="1DD8F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356DF0E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w:t>
            </w:r>
          </w:p>
        </w:tc>
        <w:tc>
          <w:tcPr>
            <w:tcW w:w="928" w:type="pct"/>
            <w:tcBorders>
              <w:top w:val="single" w:color="000000" w:sz="4" w:space="0"/>
              <w:left w:val="single" w:color="000000" w:sz="4" w:space="0"/>
              <w:bottom w:val="single" w:color="000000" w:sz="4" w:space="0"/>
              <w:right w:val="single" w:color="000000" w:sz="4" w:space="0"/>
            </w:tcBorders>
            <w:noWrap w:val="0"/>
            <w:vAlign w:val="center"/>
          </w:tcPr>
          <w:p w14:paraId="418CC49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澳洲胎牛血清 FBS</w:t>
            </w:r>
          </w:p>
        </w:tc>
        <w:tc>
          <w:tcPr>
            <w:tcW w:w="660" w:type="pct"/>
            <w:tcBorders>
              <w:top w:val="single" w:color="000000" w:sz="4" w:space="0"/>
              <w:left w:val="single" w:color="000000" w:sz="4" w:space="0"/>
              <w:bottom w:val="single" w:color="000000" w:sz="4" w:space="0"/>
              <w:right w:val="single" w:color="000000" w:sz="4" w:space="0"/>
            </w:tcBorders>
            <w:noWrap w:val="0"/>
            <w:vAlign w:val="center"/>
          </w:tcPr>
          <w:p w14:paraId="3A1CCF6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500 ml</w:t>
            </w:r>
          </w:p>
        </w:tc>
        <w:tc>
          <w:tcPr>
            <w:tcW w:w="321" w:type="pct"/>
            <w:tcBorders>
              <w:top w:val="single" w:color="000000" w:sz="4" w:space="0"/>
              <w:left w:val="single" w:color="000000" w:sz="4" w:space="0"/>
              <w:bottom w:val="single" w:color="000000" w:sz="4" w:space="0"/>
              <w:right w:val="single" w:color="000000" w:sz="4" w:space="0"/>
            </w:tcBorders>
            <w:noWrap/>
            <w:vAlign w:val="center"/>
          </w:tcPr>
          <w:p w14:paraId="39942B0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579F592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noWrap/>
            <w:vAlign w:val="center"/>
          </w:tcPr>
          <w:p w14:paraId="1F75562B">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6362</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36E5D59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6B98DF6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1070" w:type="pct"/>
            <w:tcBorders>
              <w:top w:val="single" w:color="000000" w:sz="4" w:space="0"/>
              <w:left w:val="single" w:color="000000" w:sz="4" w:space="0"/>
              <w:bottom w:val="single" w:color="000000" w:sz="4" w:space="0"/>
              <w:right w:val="single" w:color="000000" w:sz="4" w:space="0"/>
            </w:tcBorders>
            <w:noWrap w:val="0"/>
            <w:vAlign w:val="bottom"/>
          </w:tcPr>
          <w:p w14:paraId="4CB8CED3">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满足《QGP1细胞机械诱发及中药干预功能实验》所需求科研类试剂要求。</w:t>
            </w:r>
          </w:p>
        </w:tc>
      </w:tr>
      <w:tr w14:paraId="06005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6676A75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w:t>
            </w:r>
          </w:p>
        </w:tc>
        <w:tc>
          <w:tcPr>
            <w:tcW w:w="928" w:type="pct"/>
            <w:tcBorders>
              <w:top w:val="single" w:color="000000" w:sz="4" w:space="0"/>
              <w:left w:val="single" w:color="000000" w:sz="4" w:space="0"/>
              <w:bottom w:val="single" w:color="000000" w:sz="4" w:space="0"/>
              <w:right w:val="single" w:color="000000" w:sz="4" w:space="0"/>
            </w:tcBorders>
            <w:noWrap w:val="0"/>
            <w:vAlign w:val="center"/>
          </w:tcPr>
          <w:p w14:paraId="3E2D309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Lipofectamine RNAiMAX 转染试剂</w:t>
            </w:r>
          </w:p>
        </w:tc>
        <w:tc>
          <w:tcPr>
            <w:tcW w:w="660" w:type="pct"/>
            <w:tcBorders>
              <w:top w:val="single" w:color="000000" w:sz="4" w:space="0"/>
              <w:left w:val="single" w:color="000000" w:sz="4" w:space="0"/>
              <w:bottom w:val="single" w:color="000000" w:sz="4" w:space="0"/>
              <w:right w:val="single" w:color="000000" w:sz="4" w:space="0"/>
            </w:tcBorders>
            <w:noWrap w:val="0"/>
            <w:vAlign w:val="center"/>
          </w:tcPr>
          <w:p w14:paraId="558587A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 mL</w:t>
            </w:r>
          </w:p>
        </w:tc>
        <w:tc>
          <w:tcPr>
            <w:tcW w:w="321" w:type="pct"/>
            <w:tcBorders>
              <w:top w:val="single" w:color="000000" w:sz="4" w:space="0"/>
              <w:left w:val="single" w:color="000000" w:sz="4" w:space="0"/>
              <w:bottom w:val="single" w:color="000000" w:sz="4" w:space="0"/>
              <w:right w:val="single" w:color="000000" w:sz="4" w:space="0"/>
            </w:tcBorders>
            <w:noWrap/>
            <w:vAlign w:val="center"/>
          </w:tcPr>
          <w:p w14:paraId="34819E1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371DF06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noWrap/>
            <w:vAlign w:val="center"/>
          </w:tcPr>
          <w:p w14:paraId="6F4E5136">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5356</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6C7F03F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182CE85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1070" w:type="pct"/>
            <w:tcBorders>
              <w:top w:val="single" w:color="000000" w:sz="4" w:space="0"/>
              <w:left w:val="single" w:color="000000" w:sz="4" w:space="0"/>
              <w:bottom w:val="single" w:color="000000" w:sz="4" w:space="0"/>
              <w:right w:val="single" w:color="000000" w:sz="4" w:space="0"/>
            </w:tcBorders>
            <w:noWrap w:val="0"/>
            <w:vAlign w:val="bottom"/>
          </w:tcPr>
          <w:p w14:paraId="125E82EB">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满足《QGP1细胞机械诱发及中药干预功能实验》所需求科研类试剂要求。</w:t>
            </w:r>
          </w:p>
        </w:tc>
      </w:tr>
      <w:tr w14:paraId="13230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7BC46366">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w:t>
            </w:r>
          </w:p>
        </w:tc>
        <w:tc>
          <w:tcPr>
            <w:tcW w:w="928" w:type="pct"/>
            <w:tcBorders>
              <w:top w:val="single" w:color="000000" w:sz="4" w:space="0"/>
              <w:left w:val="single" w:color="000000" w:sz="4" w:space="0"/>
              <w:bottom w:val="single" w:color="000000" w:sz="4" w:space="0"/>
              <w:right w:val="single" w:color="000000" w:sz="4" w:space="0"/>
            </w:tcBorders>
            <w:noWrap w:val="0"/>
            <w:vAlign w:val="center"/>
          </w:tcPr>
          <w:p w14:paraId="3774297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Anti-PIEZO2抗体</w:t>
            </w:r>
          </w:p>
        </w:tc>
        <w:tc>
          <w:tcPr>
            <w:tcW w:w="660" w:type="pct"/>
            <w:tcBorders>
              <w:top w:val="single" w:color="000000" w:sz="4" w:space="0"/>
              <w:left w:val="single" w:color="000000" w:sz="4" w:space="0"/>
              <w:bottom w:val="single" w:color="000000" w:sz="4" w:space="0"/>
              <w:right w:val="single" w:color="000000" w:sz="4" w:space="0"/>
            </w:tcBorders>
            <w:noWrap w:val="0"/>
            <w:vAlign w:val="center"/>
          </w:tcPr>
          <w:p w14:paraId="56527DC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100 μL</w:t>
            </w:r>
          </w:p>
        </w:tc>
        <w:tc>
          <w:tcPr>
            <w:tcW w:w="321" w:type="pct"/>
            <w:tcBorders>
              <w:top w:val="single" w:color="000000" w:sz="4" w:space="0"/>
              <w:left w:val="single" w:color="000000" w:sz="4" w:space="0"/>
              <w:bottom w:val="single" w:color="000000" w:sz="4" w:space="0"/>
              <w:right w:val="single" w:color="000000" w:sz="4" w:space="0"/>
            </w:tcBorders>
            <w:noWrap/>
            <w:vAlign w:val="center"/>
          </w:tcPr>
          <w:p w14:paraId="155E77A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支</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2FE6A2B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noWrap/>
            <w:vAlign w:val="center"/>
          </w:tcPr>
          <w:p w14:paraId="0970C462">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6916</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11E3305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64C369A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1070" w:type="pct"/>
            <w:tcBorders>
              <w:top w:val="single" w:color="000000" w:sz="4" w:space="0"/>
              <w:left w:val="single" w:color="000000" w:sz="4" w:space="0"/>
              <w:bottom w:val="single" w:color="000000" w:sz="4" w:space="0"/>
              <w:right w:val="single" w:color="000000" w:sz="4" w:space="0"/>
            </w:tcBorders>
            <w:noWrap w:val="0"/>
            <w:vAlign w:val="bottom"/>
          </w:tcPr>
          <w:p w14:paraId="74ACC828">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满足《QGP1细胞机械诱发及中药干预功能实验》所需求科研类试剂要求。</w:t>
            </w:r>
          </w:p>
        </w:tc>
      </w:tr>
      <w:tr w14:paraId="0B27D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7689B90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w:t>
            </w:r>
          </w:p>
        </w:tc>
        <w:tc>
          <w:tcPr>
            <w:tcW w:w="928" w:type="pct"/>
            <w:tcBorders>
              <w:top w:val="single" w:color="000000" w:sz="4" w:space="0"/>
              <w:left w:val="single" w:color="000000" w:sz="4" w:space="0"/>
              <w:bottom w:val="single" w:color="000000" w:sz="4" w:space="0"/>
              <w:right w:val="single" w:color="000000" w:sz="4" w:space="0"/>
            </w:tcBorders>
            <w:noWrap w:val="0"/>
            <w:vAlign w:val="center"/>
          </w:tcPr>
          <w:p w14:paraId="6A70D93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SYT7抗体</w:t>
            </w:r>
          </w:p>
        </w:tc>
        <w:tc>
          <w:tcPr>
            <w:tcW w:w="660" w:type="pct"/>
            <w:tcBorders>
              <w:top w:val="single" w:color="000000" w:sz="4" w:space="0"/>
              <w:left w:val="single" w:color="000000" w:sz="4" w:space="0"/>
              <w:bottom w:val="single" w:color="000000" w:sz="4" w:space="0"/>
              <w:right w:val="single" w:color="000000" w:sz="4" w:space="0"/>
            </w:tcBorders>
            <w:noWrap w:val="0"/>
            <w:vAlign w:val="center"/>
          </w:tcPr>
          <w:p w14:paraId="6890C33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100 μL</w:t>
            </w:r>
          </w:p>
        </w:tc>
        <w:tc>
          <w:tcPr>
            <w:tcW w:w="321" w:type="pct"/>
            <w:tcBorders>
              <w:top w:val="single" w:color="000000" w:sz="4" w:space="0"/>
              <w:left w:val="single" w:color="000000" w:sz="4" w:space="0"/>
              <w:bottom w:val="single" w:color="000000" w:sz="4" w:space="0"/>
              <w:right w:val="single" w:color="000000" w:sz="4" w:space="0"/>
            </w:tcBorders>
            <w:noWrap/>
            <w:vAlign w:val="center"/>
          </w:tcPr>
          <w:p w14:paraId="42EA09A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支</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665D8C5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noWrap/>
            <w:vAlign w:val="center"/>
          </w:tcPr>
          <w:p w14:paraId="71C72AA2">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6916</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453EB51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79E0CDB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1070" w:type="pct"/>
            <w:tcBorders>
              <w:top w:val="single" w:color="000000" w:sz="4" w:space="0"/>
              <w:left w:val="single" w:color="000000" w:sz="4" w:space="0"/>
              <w:bottom w:val="single" w:color="000000" w:sz="4" w:space="0"/>
              <w:right w:val="single" w:color="000000" w:sz="4" w:space="0"/>
            </w:tcBorders>
            <w:noWrap w:val="0"/>
            <w:vAlign w:val="bottom"/>
          </w:tcPr>
          <w:p w14:paraId="11EFE7B4">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满足《QGP1细胞机械诱发及中药干预功能实验》所需求科研类试剂要求。</w:t>
            </w:r>
          </w:p>
        </w:tc>
      </w:tr>
      <w:tr w14:paraId="412E6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23FE96C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w:t>
            </w:r>
          </w:p>
        </w:tc>
        <w:tc>
          <w:tcPr>
            <w:tcW w:w="928" w:type="pct"/>
            <w:tcBorders>
              <w:top w:val="single" w:color="000000" w:sz="4" w:space="0"/>
              <w:left w:val="single" w:color="000000" w:sz="4" w:space="0"/>
              <w:bottom w:val="single" w:color="000000" w:sz="4" w:space="0"/>
              <w:right w:val="single" w:color="000000" w:sz="4" w:space="0"/>
            </w:tcBorders>
            <w:noWrap w:val="0"/>
            <w:vAlign w:val="center"/>
          </w:tcPr>
          <w:p w14:paraId="7112479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蛋白酶抑制剂混合物 (100×)</w:t>
            </w:r>
          </w:p>
        </w:tc>
        <w:tc>
          <w:tcPr>
            <w:tcW w:w="660" w:type="pct"/>
            <w:tcBorders>
              <w:top w:val="single" w:color="000000" w:sz="4" w:space="0"/>
              <w:left w:val="single" w:color="000000" w:sz="4" w:space="0"/>
              <w:bottom w:val="single" w:color="000000" w:sz="4" w:space="0"/>
              <w:right w:val="single" w:color="000000" w:sz="4" w:space="0"/>
            </w:tcBorders>
            <w:noWrap w:val="0"/>
            <w:vAlign w:val="center"/>
          </w:tcPr>
          <w:p w14:paraId="494C6B9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1mL</w:t>
            </w:r>
          </w:p>
        </w:tc>
        <w:tc>
          <w:tcPr>
            <w:tcW w:w="321" w:type="pct"/>
            <w:tcBorders>
              <w:top w:val="single" w:color="000000" w:sz="4" w:space="0"/>
              <w:left w:val="single" w:color="000000" w:sz="4" w:space="0"/>
              <w:bottom w:val="single" w:color="000000" w:sz="4" w:space="0"/>
              <w:right w:val="single" w:color="000000" w:sz="4" w:space="0"/>
            </w:tcBorders>
            <w:noWrap/>
            <w:vAlign w:val="center"/>
          </w:tcPr>
          <w:p w14:paraId="76A9FA9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2772556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450" w:type="pct"/>
            <w:tcBorders>
              <w:top w:val="single" w:color="000000" w:sz="4" w:space="0"/>
              <w:left w:val="single" w:color="000000" w:sz="4" w:space="0"/>
              <w:bottom w:val="single" w:color="000000" w:sz="4" w:space="0"/>
              <w:right w:val="single" w:color="000000" w:sz="4" w:space="0"/>
            </w:tcBorders>
            <w:noWrap/>
            <w:vAlign w:val="center"/>
          </w:tcPr>
          <w:p w14:paraId="111194B4">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1234</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16C493D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77BC2646">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否</w:t>
            </w:r>
          </w:p>
        </w:tc>
        <w:tc>
          <w:tcPr>
            <w:tcW w:w="1070" w:type="pct"/>
            <w:tcBorders>
              <w:top w:val="single" w:color="000000" w:sz="4" w:space="0"/>
              <w:left w:val="single" w:color="000000" w:sz="4" w:space="0"/>
              <w:bottom w:val="single" w:color="000000" w:sz="4" w:space="0"/>
              <w:right w:val="single" w:color="000000" w:sz="4" w:space="0"/>
            </w:tcBorders>
            <w:noWrap w:val="0"/>
            <w:vAlign w:val="bottom"/>
          </w:tcPr>
          <w:p w14:paraId="6FAF591A">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满足《QGP1细胞机械诱发及中药干预功能实验》所需求科研类试剂要求。</w:t>
            </w:r>
          </w:p>
        </w:tc>
      </w:tr>
    </w:tbl>
    <w:p w14:paraId="19BBC11E">
      <w:pPr>
        <w:shd w:val="clear" w:color="auto" w:fill="FFFFFF"/>
        <w:tabs>
          <w:tab w:val="left" w:pos="720"/>
          <w:tab w:val="left" w:pos="900"/>
        </w:tabs>
        <w:snapToGrid w:val="0"/>
        <w:spacing w:line="560" w:lineRule="exact"/>
        <w:ind w:firstLine="640" w:firstLineChars="200"/>
        <w:rPr>
          <w:rFonts w:ascii="Times New Roman" w:hAnsi="Times New Roman" w:eastAsia="黑体" w:cs="Times New Roman"/>
          <w:color w:val="auto"/>
          <w:sz w:val="32"/>
          <w:szCs w:val="32"/>
          <w:highlight w:val="none"/>
          <w:shd w:val="clear" w:color="auto" w:fill="FFFFFF"/>
        </w:rPr>
      </w:pPr>
      <w:r>
        <w:rPr>
          <w:rFonts w:hint="eastAsia" w:ascii="Times New Roman" w:hAnsi="Times New Roman" w:eastAsia="黑体" w:cs="Times New Roman"/>
          <w:color w:val="auto"/>
          <w:sz w:val="32"/>
          <w:szCs w:val="32"/>
          <w:highlight w:val="none"/>
          <w:shd w:val="clear" w:color="auto" w:fill="FFFFFF"/>
        </w:rPr>
        <w:t>★</w:t>
      </w:r>
      <w:r>
        <w:rPr>
          <w:rFonts w:hint="eastAsia" w:ascii="Times New Roman" w:hAnsi="Times New Roman" w:eastAsia="黑体" w:cs="Times New Roman"/>
          <w:color w:val="auto"/>
          <w:sz w:val="32"/>
          <w:szCs w:val="32"/>
          <w:highlight w:val="none"/>
          <w:shd w:val="clear" w:color="auto" w:fill="FFFFFF"/>
          <w:lang w:val="en-US" w:eastAsia="zh-CN"/>
        </w:rPr>
        <w:t>三</w:t>
      </w:r>
      <w:r>
        <w:rPr>
          <w:rFonts w:ascii="Times New Roman" w:hAnsi="Times New Roman" w:eastAsia="黑体" w:cs="Times New Roman"/>
          <w:color w:val="auto"/>
          <w:sz w:val="32"/>
          <w:szCs w:val="32"/>
          <w:highlight w:val="none"/>
          <w:shd w:val="clear" w:color="auto" w:fill="FFFFFF"/>
        </w:rPr>
        <w:t>、商务要求</w:t>
      </w:r>
    </w:p>
    <w:p w14:paraId="6F1A40A3">
      <w:pPr>
        <w:shd w:val="clear" w:color="auto" w:fill="FFFFFF"/>
        <w:tabs>
          <w:tab w:val="left" w:pos="720"/>
          <w:tab w:val="left" w:pos="900"/>
        </w:tabs>
        <w:adjustRightInd w:val="0"/>
        <w:snapToGrid w:val="0"/>
        <w:spacing w:line="560" w:lineRule="exact"/>
        <w:ind w:firstLine="640" w:firstLineChars="200"/>
        <w:rPr>
          <w:rFonts w:hint="eastAsia"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shd w:val="clear" w:color="auto" w:fill="FFFFFF"/>
          <w:lang w:val="en-US" w:eastAsia="zh-CN"/>
        </w:rPr>
        <w:t>1.交货期限：自合同签订之日起15日内。</w:t>
      </w:r>
    </w:p>
    <w:p w14:paraId="0A8496F5">
      <w:pPr>
        <w:shd w:val="clear" w:color="auto" w:fill="FFFFFF"/>
        <w:tabs>
          <w:tab w:val="left" w:pos="720"/>
          <w:tab w:val="left" w:pos="900"/>
        </w:tabs>
        <w:adjustRightInd w:val="0"/>
        <w:snapToGrid w:val="0"/>
        <w:spacing w:line="560" w:lineRule="exact"/>
        <w:ind w:firstLine="640" w:firstLineChars="200"/>
        <w:rPr>
          <w:rFonts w:hint="eastAsia"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shd w:val="clear" w:color="auto" w:fill="FFFFFF"/>
          <w:lang w:val="en-US" w:eastAsia="zh-CN"/>
        </w:rPr>
        <w:t>2.付款方式：合同签订后，收到供应商合法有效票据及付款资料后，达到付款条件起10个工作日内支付合同金额的100%。</w:t>
      </w:r>
    </w:p>
    <w:p w14:paraId="6661A76E">
      <w:pPr>
        <w:shd w:val="clear" w:color="auto" w:fill="FFFFFF"/>
        <w:tabs>
          <w:tab w:val="left" w:pos="720"/>
          <w:tab w:val="left" w:pos="900"/>
        </w:tabs>
        <w:adjustRightInd w:val="0"/>
        <w:snapToGrid w:val="0"/>
        <w:spacing w:line="560" w:lineRule="exact"/>
        <w:ind w:firstLine="640" w:firstLineChars="200"/>
        <w:rPr>
          <w:rFonts w:hint="eastAsia"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shd w:val="clear" w:color="auto" w:fill="FFFFFF"/>
          <w:lang w:val="en-US" w:eastAsia="zh-CN"/>
        </w:rPr>
        <w:t>3.服务地点：成都市中西医结合医院南区。</w:t>
      </w:r>
    </w:p>
    <w:p w14:paraId="3D80E730">
      <w:pPr>
        <w:shd w:val="clear" w:color="auto" w:fill="FFFFFF"/>
        <w:tabs>
          <w:tab w:val="left" w:pos="720"/>
          <w:tab w:val="left" w:pos="900"/>
        </w:tabs>
        <w:adjustRightInd w:val="0"/>
        <w:snapToGrid w:val="0"/>
        <w:spacing w:line="560" w:lineRule="exact"/>
        <w:ind w:firstLine="640" w:firstLineChars="200"/>
        <w:rPr>
          <w:rFonts w:hint="eastAsia"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shd w:val="clear" w:color="auto" w:fill="FFFFFF"/>
          <w:lang w:val="en-US" w:eastAsia="zh-CN"/>
        </w:rPr>
        <w:t>4.验收要求：包装袋（箱）应干净、结实、无破损。</w:t>
      </w:r>
    </w:p>
    <w:p w14:paraId="244609D6">
      <w:pPr>
        <w:shd w:val="clear" w:color="auto" w:fill="FFFFFF"/>
        <w:tabs>
          <w:tab w:val="left" w:pos="720"/>
          <w:tab w:val="left" w:pos="900"/>
        </w:tabs>
        <w:adjustRightInd w:val="0"/>
        <w:snapToGrid w:val="0"/>
        <w:spacing w:line="560" w:lineRule="exact"/>
        <w:ind w:firstLine="640" w:firstLineChars="200"/>
        <w:rPr>
          <w:rFonts w:hint="eastAsia"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shd w:val="clear" w:color="auto" w:fill="FFFFFF"/>
          <w:lang w:val="en-US" w:eastAsia="zh-CN"/>
        </w:rPr>
        <w:t>5.报价：所有产品价格不可超过采购清单限价，以限价为基础报统一折扣率。（举例：如供应商承诺在最高限价基础上报折扣2个百分点，则其在开标一览表中报统一折扣率为98%。如不下浮则其报价应为100%。本项目为一次性折扣，且该项报价不得上浮，否则做无效响应处理）。</w:t>
      </w:r>
    </w:p>
    <w:p w14:paraId="6F8606DF">
      <w:pPr>
        <w:shd w:val="clear" w:color="auto" w:fill="FFFFFF"/>
        <w:tabs>
          <w:tab w:val="left" w:pos="720"/>
          <w:tab w:val="left" w:pos="900"/>
        </w:tabs>
        <w:adjustRightInd w:val="0"/>
        <w:snapToGrid w:val="0"/>
        <w:spacing w:line="560" w:lineRule="exact"/>
        <w:ind w:firstLine="640" w:firstLineChars="200"/>
        <w:rPr>
          <w:rFonts w:hint="eastAsia"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shd w:val="clear" w:color="auto" w:fill="FFFFFF"/>
          <w:lang w:val="en-US" w:eastAsia="zh-CN"/>
        </w:rPr>
        <w:t>6.比选申请人拟提供的所有货物产地其来源地均应为中华人民共和国或与中华人民共和国有官方贸易关系的国家或地区。比选申请人提供的货物必须符合已颁布的中国国家标准或国际标准的有关条款，配送的产品规格、包装等应与中选品种规格、包装等一致，否则采购人有权拒绝，不同意更换的，采购人有权单方停止中选人配送资格。造成采购人损失的由中选人进行赔偿。</w:t>
      </w:r>
    </w:p>
    <w:p w14:paraId="136F7447">
      <w:pPr>
        <w:shd w:val="clear" w:color="auto" w:fill="FFFFFF"/>
        <w:tabs>
          <w:tab w:val="left" w:pos="720"/>
          <w:tab w:val="left" w:pos="900"/>
        </w:tabs>
        <w:adjustRightInd w:val="0"/>
        <w:snapToGrid w:val="0"/>
        <w:spacing w:line="560" w:lineRule="exact"/>
        <w:ind w:firstLine="640" w:firstLineChars="200"/>
        <w:rPr>
          <w:rFonts w:hint="default"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shd w:val="clear" w:color="auto" w:fill="FFFFFF"/>
          <w:lang w:val="en-US" w:eastAsia="zh-CN"/>
        </w:rPr>
        <w:t>7.产品须提供原装正品。</w:t>
      </w:r>
    </w:p>
    <w:p w14:paraId="3B5445BE">
      <w:pPr>
        <w:shd w:val="clear" w:color="auto" w:fill="FFFFFF"/>
        <w:tabs>
          <w:tab w:val="left" w:pos="720"/>
          <w:tab w:val="left" w:pos="900"/>
        </w:tabs>
        <w:adjustRightInd w:val="0"/>
        <w:snapToGrid w:val="0"/>
        <w:spacing w:line="560" w:lineRule="exact"/>
        <w:ind w:firstLine="643" w:firstLineChars="200"/>
        <w:rPr>
          <w:rFonts w:hint="eastAsia" w:ascii="Times New Roman" w:hAnsi="Times New Roman" w:eastAsia="黑体" w:cs="Times New Roman"/>
          <w:sz w:val="32"/>
          <w:szCs w:val="32"/>
          <w:highlight w:val="none"/>
          <w:shd w:val="clear" w:color="auto" w:fill="FFFFFF"/>
          <w:lang w:val="en-US" w:eastAsia="zh-CN"/>
        </w:rPr>
      </w:pPr>
      <w:r>
        <w:rPr>
          <w:rFonts w:hint="eastAsia" w:ascii="Times New Roman" w:hAnsi="Times New Roman" w:eastAsia="仿宋_GB2312" w:cs="Times New Roman"/>
          <w:b/>
          <w:bCs/>
          <w:color w:val="auto"/>
          <w:sz w:val="32"/>
          <w:szCs w:val="32"/>
          <w:highlight w:val="none"/>
          <w:shd w:val="clear" w:color="auto" w:fill="FFFFFF"/>
          <w:lang w:eastAsia="zh-CN"/>
        </w:rPr>
        <w:t>注：本章中标注“★”的条款为实质性要求，未响应或不满足，按无效响应处理。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1"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xZmUxZjUzMjY2OGYxMTk4N2M4YTc1ZjZhYTc3N2YifQ=="/>
  </w:docVars>
  <w:rsids>
    <w:rsidRoot w:val="00000000"/>
    <w:rsid w:val="45110459"/>
    <w:rsid w:val="78530FAA"/>
    <w:rsid w:val="7FFE4F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ascii="仿宋_GB2312" w:hAnsi="仿宋_GB2312" w:eastAsia="仿宋_GB2312"/>
      <w:b/>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rFonts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916</Words>
  <Characters>930</Characters>
  <Lines>0</Lines>
  <Paragraphs>0</Paragraphs>
  <TotalTime>0</TotalTime>
  <ScaleCrop>false</ScaleCrop>
  <LinksUpToDate>false</LinksUpToDate>
  <CharactersWithSpaces>931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2024-10-22T02:21:00Z</dcterms:created>
  <dc:creator>Administrator</dc:creator>
  <cp:lastModifiedBy>国招 杨静</cp:lastModifiedBy>
  <dcterms:modified xsi:type="dcterms:W3CDTF">2026-11-06T05:37:58Z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4028AC1DA5DA4FB9B6A0A8EC7C1DC9EB_13</vt:lpwstr>
  </property>
  <property fmtid="{D5CDD505-2E9C-101B-9397-08002B2CF9AE}" pid="4" name="KSOTemplateDocerSaveRecord">
    <vt:lpwstr>eyJoZGlkIjoiMWRhMTBhYzU5NmFlY2Q4MDk0YWVmZTU1YWVjYmNmZTkiLCJ1c2VySWQiOiI1ODgxMjY0MzIifQ==</vt:lpwstr>
  </property>
</Properties>
</file>